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F3AE" w14:textId="7ED276C4" w:rsidR="004C0437" w:rsidRPr="006A6A84" w:rsidRDefault="004C0437" w:rsidP="00125C10">
      <w:pPr>
        <w:jc w:val="center"/>
        <w:rPr>
          <w:rFonts w:cstheme="minorHAnsi"/>
          <w:b/>
          <w:bCs/>
          <w:sz w:val="28"/>
          <w:szCs w:val="28"/>
        </w:rPr>
      </w:pPr>
      <w:r w:rsidRPr="006A6A84">
        <w:rPr>
          <w:rFonts w:cstheme="minorHAnsi"/>
          <w:b/>
          <w:bCs/>
          <w:sz w:val="28"/>
          <w:szCs w:val="28"/>
        </w:rPr>
        <w:t>Clean Vehicles Tax Credit Summary</w:t>
      </w:r>
    </w:p>
    <w:p w14:paraId="78330CDC" w14:textId="77777777" w:rsidR="004C0437" w:rsidRPr="006A6A84" w:rsidRDefault="004C0437" w:rsidP="004C0437">
      <w:pPr>
        <w:jc w:val="center"/>
        <w:rPr>
          <w:rFonts w:cstheme="minorHAnsi"/>
          <w:b/>
          <w:bCs/>
          <w:sz w:val="28"/>
          <w:szCs w:val="28"/>
        </w:rPr>
      </w:pPr>
      <w:r w:rsidRPr="006A6A84">
        <w:rPr>
          <w:rFonts w:cstheme="minorHAnsi"/>
          <w:b/>
          <w:bCs/>
          <w:sz w:val="28"/>
          <w:szCs w:val="28"/>
        </w:rPr>
        <w:t>Enactment of the Inflation Reduction Act of 2022</w:t>
      </w:r>
    </w:p>
    <w:p w14:paraId="59EA9688" w14:textId="1D7801B1" w:rsidR="0079709F" w:rsidRPr="0079709F" w:rsidRDefault="004C0437" w:rsidP="004C0437">
      <w:pPr>
        <w:jc w:val="center"/>
        <w:rPr>
          <w:rFonts w:cstheme="minorHAnsi"/>
          <w:sz w:val="28"/>
          <w:szCs w:val="28"/>
        </w:rPr>
      </w:pPr>
      <w:r w:rsidRPr="004C0437">
        <w:rPr>
          <w:rFonts w:cstheme="minorHAnsi"/>
          <w:b/>
          <w:bCs/>
          <w:sz w:val="24"/>
          <w:szCs w:val="24"/>
        </w:rPr>
        <w:t>August 1</w:t>
      </w:r>
      <w:r w:rsidR="00942239">
        <w:rPr>
          <w:rFonts w:cstheme="minorHAnsi"/>
          <w:b/>
          <w:bCs/>
          <w:sz w:val="24"/>
          <w:szCs w:val="24"/>
        </w:rPr>
        <w:t>8</w:t>
      </w:r>
      <w:r w:rsidRPr="004C0437">
        <w:rPr>
          <w:rFonts w:cstheme="minorHAnsi"/>
          <w:b/>
          <w:bCs/>
          <w:sz w:val="24"/>
          <w:szCs w:val="24"/>
        </w:rPr>
        <w:t>, 2022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14:paraId="0A1BD398" w14:textId="42E3890D" w:rsidR="001A22E1" w:rsidRPr="004F7B21" w:rsidRDefault="00D9716F" w:rsidP="00EC06C0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T</w:t>
      </w:r>
      <w:r w:rsidR="001A22E1" w:rsidRPr="004F7B21">
        <w:rPr>
          <w:rFonts w:cstheme="minorHAnsi"/>
          <w:sz w:val="24"/>
          <w:szCs w:val="24"/>
        </w:rPr>
        <w:t xml:space="preserve">he current </w:t>
      </w:r>
      <w:r w:rsidR="003E3219">
        <w:rPr>
          <w:rFonts w:cstheme="minorHAnsi"/>
          <w:sz w:val="24"/>
          <w:szCs w:val="24"/>
        </w:rPr>
        <w:t xml:space="preserve">IRS Code </w:t>
      </w:r>
      <w:r w:rsidR="003174E0" w:rsidRPr="004F7B21">
        <w:rPr>
          <w:rFonts w:cstheme="minorHAnsi"/>
          <w:sz w:val="24"/>
          <w:szCs w:val="24"/>
        </w:rPr>
        <w:t xml:space="preserve">Section 30D </w:t>
      </w:r>
      <w:r w:rsidR="001A22E1" w:rsidRPr="004F7B21">
        <w:rPr>
          <w:rFonts w:cstheme="minorHAnsi"/>
          <w:sz w:val="24"/>
          <w:szCs w:val="24"/>
        </w:rPr>
        <w:t xml:space="preserve">EV tax credit is claimed by the purchaser, applies to EVs, and has no income or MSRP limits. </w:t>
      </w:r>
      <w:r w:rsidR="003E3219">
        <w:rPr>
          <w:rFonts w:cstheme="minorHAnsi"/>
          <w:sz w:val="24"/>
          <w:szCs w:val="24"/>
        </w:rPr>
        <w:t xml:space="preserve">Individual </w:t>
      </w:r>
      <w:r w:rsidR="001A22E1" w:rsidRPr="004F7B21">
        <w:rPr>
          <w:rFonts w:cstheme="minorHAnsi"/>
          <w:sz w:val="24"/>
          <w:szCs w:val="24"/>
        </w:rPr>
        <w:t>OEM</w:t>
      </w:r>
      <w:r w:rsidR="003E3219">
        <w:rPr>
          <w:rFonts w:cstheme="minorHAnsi"/>
          <w:sz w:val="24"/>
          <w:szCs w:val="24"/>
        </w:rPr>
        <w:t>s</w:t>
      </w:r>
      <w:r w:rsidR="001A22E1" w:rsidRPr="004F7B21">
        <w:rPr>
          <w:rFonts w:cstheme="minorHAnsi"/>
          <w:sz w:val="24"/>
          <w:szCs w:val="24"/>
        </w:rPr>
        <w:t xml:space="preserve"> </w:t>
      </w:r>
      <w:r w:rsidR="003E3219">
        <w:rPr>
          <w:rFonts w:cstheme="minorHAnsi"/>
          <w:sz w:val="24"/>
          <w:szCs w:val="24"/>
        </w:rPr>
        <w:t>are</w:t>
      </w:r>
      <w:r w:rsidR="001A22E1" w:rsidRPr="004F7B21">
        <w:rPr>
          <w:rFonts w:cstheme="minorHAnsi"/>
          <w:sz w:val="24"/>
          <w:szCs w:val="24"/>
        </w:rPr>
        <w:t xml:space="preserve"> capped at 200,000 </w:t>
      </w:r>
      <w:r w:rsidR="003E3219">
        <w:rPr>
          <w:rFonts w:cstheme="minorHAnsi"/>
          <w:sz w:val="24"/>
          <w:szCs w:val="24"/>
        </w:rPr>
        <w:t>vehicles per manufacturer</w:t>
      </w:r>
      <w:r w:rsidR="001A22E1" w:rsidRPr="004F7B21">
        <w:rPr>
          <w:rFonts w:cstheme="minorHAnsi"/>
          <w:sz w:val="24"/>
          <w:szCs w:val="24"/>
        </w:rPr>
        <w:t xml:space="preserve"> before the credit beg</w:t>
      </w:r>
      <w:r w:rsidRPr="004F7B21">
        <w:rPr>
          <w:rFonts w:cstheme="minorHAnsi"/>
          <w:sz w:val="24"/>
          <w:szCs w:val="24"/>
        </w:rPr>
        <w:t>i</w:t>
      </w:r>
      <w:r w:rsidR="001A22E1" w:rsidRPr="004F7B21">
        <w:rPr>
          <w:rFonts w:cstheme="minorHAnsi"/>
          <w:sz w:val="24"/>
          <w:szCs w:val="24"/>
        </w:rPr>
        <w:t>n</w:t>
      </w:r>
      <w:r w:rsidRPr="004F7B21">
        <w:rPr>
          <w:rFonts w:cstheme="minorHAnsi"/>
          <w:sz w:val="24"/>
          <w:szCs w:val="24"/>
        </w:rPr>
        <w:t>s</w:t>
      </w:r>
      <w:r w:rsidR="001A22E1" w:rsidRPr="004F7B21">
        <w:rPr>
          <w:rFonts w:cstheme="minorHAnsi"/>
          <w:sz w:val="24"/>
          <w:szCs w:val="24"/>
        </w:rPr>
        <w:t xml:space="preserve"> to phase out.</w:t>
      </w:r>
    </w:p>
    <w:p w14:paraId="15EA21E0" w14:textId="3205FB5B" w:rsidR="001A22E1" w:rsidRPr="004F7B21" w:rsidRDefault="00FD1809" w:rsidP="001A22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Under </w:t>
      </w:r>
      <w:r w:rsidRPr="006A6A84">
        <w:rPr>
          <w:rFonts w:cstheme="minorHAnsi"/>
          <w:sz w:val="24"/>
          <w:szCs w:val="24"/>
        </w:rPr>
        <w:t>t</w:t>
      </w:r>
      <w:r w:rsidR="001A22E1" w:rsidRPr="006A6A84">
        <w:rPr>
          <w:rFonts w:cstheme="minorHAnsi"/>
          <w:sz w:val="24"/>
          <w:szCs w:val="24"/>
        </w:rPr>
        <w:t xml:space="preserve">he </w:t>
      </w:r>
      <w:r w:rsidR="006A6A84" w:rsidRPr="006A6A84">
        <w:rPr>
          <w:rFonts w:cstheme="minorHAnsi"/>
          <w:sz w:val="24"/>
          <w:szCs w:val="24"/>
        </w:rPr>
        <w:t>Inflation Reduction Act of 2022</w:t>
      </w:r>
      <w:r w:rsidR="006A6A84">
        <w:rPr>
          <w:rFonts w:cstheme="minorHAnsi"/>
          <w:sz w:val="24"/>
          <w:szCs w:val="24"/>
        </w:rPr>
        <w:t xml:space="preserve"> (</w:t>
      </w:r>
      <w:r w:rsidR="00190AFE" w:rsidRPr="006A6A84">
        <w:rPr>
          <w:rFonts w:cstheme="minorHAnsi"/>
          <w:sz w:val="24"/>
          <w:szCs w:val="24"/>
        </w:rPr>
        <w:t>IRA</w:t>
      </w:r>
      <w:r w:rsidR="006A6A8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</w:t>
      </w:r>
      <w:r w:rsidR="00190AFE" w:rsidRPr="004F7B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="003E3219">
        <w:rPr>
          <w:rFonts w:cstheme="minorHAnsi"/>
          <w:sz w:val="24"/>
          <w:szCs w:val="24"/>
        </w:rPr>
        <w:t>he</w:t>
      </w:r>
      <w:r w:rsidR="00190AFE" w:rsidRPr="004F7B21">
        <w:rPr>
          <w:rFonts w:cstheme="minorHAnsi"/>
          <w:sz w:val="24"/>
          <w:szCs w:val="24"/>
        </w:rPr>
        <w:t xml:space="preserve"> </w:t>
      </w:r>
      <w:r w:rsidR="001A22E1" w:rsidRPr="004F7B21">
        <w:rPr>
          <w:rFonts w:cstheme="minorHAnsi"/>
          <w:sz w:val="24"/>
          <w:szCs w:val="24"/>
        </w:rPr>
        <w:t>new</w:t>
      </w:r>
      <w:r w:rsidR="00190AFE" w:rsidRPr="004F7B21">
        <w:rPr>
          <w:rFonts w:cstheme="minorHAnsi"/>
          <w:sz w:val="24"/>
          <w:szCs w:val="24"/>
        </w:rPr>
        <w:t xml:space="preserve">ly revamped and </w:t>
      </w:r>
      <w:r w:rsidR="003174E0" w:rsidRPr="004F7B21">
        <w:rPr>
          <w:rFonts w:cstheme="minorHAnsi"/>
          <w:sz w:val="24"/>
          <w:szCs w:val="24"/>
        </w:rPr>
        <w:t xml:space="preserve">renamed </w:t>
      </w:r>
      <w:r w:rsidR="001A22E1" w:rsidRPr="004F7B21">
        <w:rPr>
          <w:rFonts w:cstheme="minorHAnsi"/>
          <w:sz w:val="24"/>
          <w:szCs w:val="24"/>
        </w:rPr>
        <w:t>“clean vehicle” tax credit can be transferred to the dealer by the purchaser</w:t>
      </w:r>
      <w:r w:rsidR="003E3219">
        <w:rPr>
          <w:rFonts w:cstheme="minorHAnsi"/>
          <w:sz w:val="24"/>
          <w:szCs w:val="24"/>
        </w:rPr>
        <w:t xml:space="preserve"> (beginning </w:t>
      </w:r>
      <w:r w:rsidR="00942239">
        <w:rPr>
          <w:rFonts w:cstheme="minorHAnsi"/>
          <w:sz w:val="24"/>
          <w:szCs w:val="24"/>
        </w:rPr>
        <w:t>1/</w:t>
      </w:r>
      <w:r w:rsidR="003E3219">
        <w:rPr>
          <w:rFonts w:cstheme="minorHAnsi"/>
          <w:sz w:val="24"/>
          <w:szCs w:val="24"/>
        </w:rPr>
        <w:t>1</w:t>
      </w:r>
      <w:r w:rsidR="00942239">
        <w:rPr>
          <w:rFonts w:cstheme="minorHAnsi"/>
          <w:sz w:val="24"/>
          <w:szCs w:val="24"/>
        </w:rPr>
        <w:t>/</w:t>
      </w:r>
      <w:r w:rsidR="003E3219">
        <w:rPr>
          <w:rFonts w:cstheme="minorHAnsi"/>
          <w:sz w:val="24"/>
          <w:szCs w:val="24"/>
        </w:rPr>
        <w:t>24)</w:t>
      </w:r>
      <w:r w:rsidR="001A22E1" w:rsidRPr="004F7B21">
        <w:rPr>
          <w:rFonts w:cstheme="minorHAnsi"/>
          <w:sz w:val="24"/>
          <w:szCs w:val="24"/>
        </w:rPr>
        <w:t xml:space="preserve">, applies to </w:t>
      </w:r>
      <w:r w:rsidR="00C803DE" w:rsidRPr="004F7B21">
        <w:rPr>
          <w:rFonts w:cstheme="minorHAnsi"/>
          <w:sz w:val="24"/>
          <w:szCs w:val="24"/>
        </w:rPr>
        <w:t>battery electric vehicles, plug</w:t>
      </w:r>
      <w:r w:rsidR="00EE585C">
        <w:rPr>
          <w:rFonts w:cstheme="minorHAnsi"/>
          <w:sz w:val="24"/>
          <w:szCs w:val="24"/>
        </w:rPr>
        <w:t>-</w:t>
      </w:r>
      <w:r w:rsidR="00C803DE" w:rsidRPr="004F7B21">
        <w:rPr>
          <w:rFonts w:cstheme="minorHAnsi"/>
          <w:sz w:val="24"/>
          <w:szCs w:val="24"/>
        </w:rPr>
        <w:t xml:space="preserve">in </w:t>
      </w:r>
      <w:r w:rsidR="003174E0" w:rsidRPr="004F7B21">
        <w:rPr>
          <w:rFonts w:cstheme="minorHAnsi"/>
          <w:sz w:val="24"/>
          <w:szCs w:val="24"/>
        </w:rPr>
        <w:t>hybrid and hydrogen</w:t>
      </w:r>
      <w:r w:rsidR="001A22E1" w:rsidRPr="004F7B21">
        <w:rPr>
          <w:rFonts w:cstheme="minorHAnsi"/>
          <w:sz w:val="24"/>
          <w:szCs w:val="24"/>
        </w:rPr>
        <w:t xml:space="preserve"> and fuel cell vehicles, and includes new income and MSRP limits</w:t>
      </w:r>
      <w:r w:rsidR="00E8174C" w:rsidRPr="004F7B21">
        <w:rPr>
          <w:rFonts w:cstheme="minorHAnsi"/>
          <w:sz w:val="24"/>
          <w:szCs w:val="24"/>
        </w:rPr>
        <w:t>, as well as critical mineral and battery component requirements</w:t>
      </w:r>
      <w:r w:rsidR="00563CBF" w:rsidRPr="004F7B21">
        <w:rPr>
          <w:rFonts w:cstheme="minorHAnsi"/>
          <w:sz w:val="24"/>
          <w:szCs w:val="24"/>
        </w:rPr>
        <w:t xml:space="preserve"> meant to secure a domestic supply chain</w:t>
      </w:r>
      <w:r w:rsidR="001A22E1" w:rsidRPr="004F7B21">
        <w:rPr>
          <w:rFonts w:cstheme="minorHAnsi"/>
          <w:sz w:val="24"/>
          <w:szCs w:val="24"/>
        </w:rPr>
        <w:t>.</w:t>
      </w:r>
      <w:r w:rsidR="00C50DBE" w:rsidRPr="004F7B21">
        <w:rPr>
          <w:rFonts w:cstheme="minorHAnsi"/>
          <w:sz w:val="24"/>
          <w:szCs w:val="24"/>
        </w:rPr>
        <w:t xml:space="preserve"> </w:t>
      </w:r>
      <w:r w:rsidR="00D9716F" w:rsidRPr="004F7B21">
        <w:rPr>
          <w:rFonts w:cstheme="minorHAnsi"/>
          <w:sz w:val="24"/>
          <w:szCs w:val="24"/>
        </w:rPr>
        <w:t xml:space="preserve">The OEM </w:t>
      </w:r>
      <w:r w:rsidR="00221663" w:rsidRPr="004F7B21">
        <w:rPr>
          <w:rFonts w:cstheme="minorHAnsi"/>
          <w:sz w:val="24"/>
          <w:szCs w:val="24"/>
        </w:rPr>
        <w:t xml:space="preserve">vehicle </w:t>
      </w:r>
      <w:r w:rsidR="00D9716F" w:rsidRPr="004F7B21">
        <w:rPr>
          <w:rFonts w:cstheme="minorHAnsi"/>
          <w:sz w:val="24"/>
          <w:szCs w:val="24"/>
        </w:rPr>
        <w:t xml:space="preserve">cap </w:t>
      </w:r>
      <w:r w:rsidR="00E8174C" w:rsidRPr="004F7B21">
        <w:rPr>
          <w:rFonts w:cstheme="minorHAnsi"/>
          <w:sz w:val="24"/>
          <w:szCs w:val="24"/>
        </w:rPr>
        <w:t xml:space="preserve">is </w:t>
      </w:r>
      <w:r w:rsidR="00D9716F" w:rsidRPr="004F7B21">
        <w:rPr>
          <w:rFonts w:cstheme="minorHAnsi"/>
          <w:sz w:val="24"/>
          <w:szCs w:val="24"/>
        </w:rPr>
        <w:t>eliminated beginning 1/1/23.</w:t>
      </w:r>
    </w:p>
    <w:p w14:paraId="1F017E0E" w14:textId="7D33D777" w:rsidR="009770FE" w:rsidRPr="00EC06C0" w:rsidRDefault="009770FE" w:rsidP="001A22E1">
      <w:pPr>
        <w:rPr>
          <w:rFonts w:cstheme="minorHAnsi"/>
          <w:b/>
          <w:bCs/>
          <w:sz w:val="24"/>
          <w:szCs w:val="24"/>
          <w:u w:val="single"/>
        </w:rPr>
      </w:pPr>
      <w:r w:rsidRPr="00EC06C0">
        <w:rPr>
          <w:rFonts w:cstheme="minorHAnsi"/>
          <w:b/>
          <w:bCs/>
          <w:sz w:val="24"/>
          <w:szCs w:val="24"/>
          <w:u w:val="single"/>
        </w:rPr>
        <w:t>General Provisions</w:t>
      </w:r>
      <w:r w:rsidR="00700155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EC06C0">
        <w:rPr>
          <w:rFonts w:cstheme="minorHAnsi"/>
          <w:b/>
          <w:bCs/>
          <w:sz w:val="24"/>
          <w:szCs w:val="24"/>
          <w:u w:val="single"/>
        </w:rPr>
        <w:t xml:space="preserve">of the </w:t>
      </w:r>
      <w:r w:rsidR="00700155">
        <w:rPr>
          <w:rFonts w:cstheme="minorHAnsi"/>
          <w:b/>
          <w:bCs/>
          <w:sz w:val="24"/>
          <w:szCs w:val="24"/>
          <w:u w:val="single"/>
        </w:rPr>
        <w:t>New Clean Vehicle Credit (Section 30D)</w:t>
      </w:r>
    </w:p>
    <w:p w14:paraId="70FEC2B2" w14:textId="48A0AC75" w:rsidR="00FD1809" w:rsidRDefault="001A22E1" w:rsidP="00FD1809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 xml:space="preserve">• </w:t>
      </w:r>
      <w:r w:rsidR="00FD1809">
        <w:rPr>
          <w:rFonts w:cstheme="minorHAnsi"/>
          <w:sz w:val="24"/>
          <w:szCs w:val="24"/>
        </w:rPr>
        <w:t xml:space="preserve">Immediately </w:t>
      </w:r>
      <w:r w:rsidR="00BA2FE4">
        <w:rPr>
          <w:rFonts w:cstheme="minorHAnsi"/>
          <w:sz w:val="24"/>
          <w:szCs w:val="24"/>
        </w:rPr>
        <w:t xml:space="preserve">limits availability of the EV tax credit </w:t>
      </w:r>
      <w:r w:rsidR="00FD1809" w:rsidRPr="004F7B21">
        <w:rPr>
          <w:rFonts w:cstheme="minorHAnsi"/>
          <w:sz w:val="24"/>
          <w:szCs w:val="24"/>
        </w:rPr>
        <w:t>to vehicles assembled in North America (i.e., in the United States, Canada and Mexico).</w:t>
      </w:r>
      <w:r w:rsidR="00FD1809">
        <w:rPr>
          <w:rFonts w:cstheme="minorHAnsi"/>
          <w:sz w:val="24"/>
          <w:szCs w:val="24"/>
        </w:rPr>
        <w:t xml:space="preserve"> </w:t>
      </w:r>
    </w:p>
    <w:p w14:paraId="78801C00" w14:textId="77777777" w:rsidR="00FD1809" w:rsidRPr="00202A38" w:rsidRDefault="00000000" w:rsidP="00FD1809">
      <w:pPr>
        <w:pStyle w:val="ListParagraph"/>
        <w:numPr>
          <w:ilvl w:val="0"/>
          <w:numId w:val="3"/>
        </w:numPr>
        <w:rPr>
          <w:rFonts w:ascii="Helvetica" w:hAnsi="Helvetica" w:cs="Helvetica"/>
          <w:color w:val="393B3E"/>
        </w:rPr>
      </w:pPr>
      <w:hyperlink r:id="rId8" w:tooltip="https://nam02.safelinks.protection.outlook.com/?url=https%3A%2F%2Fprotect-us.mimecast.com%2Fs%2Fq1tuCKr5JpTDP0vRHviR_u%3Fdomain%3Dirs.gov&amp;data=05%7C01%7Cirivera%40nada.org%7C9a0cf8daa88f482c26f508da8052e7c6%7C76442bc839d34bea86a937582aff2518%7C1%7C0%7C637" w:history="1">
        <w:r w:rsidR="00FD1809" w:rsidRPr="002B74FE">
          <w:rPr>
            <w:rStyle w:val="Hyperlink"/>
            <w:rFonts w:cstheme="minorHAnsi"/>
            <w:color w:val="0070C0"/>
            <w:sz w:val="24"/>
            <w:szCs w:val="24"/>
          </w:rPr>
          <w:t>Treasury and the IRS released guidance</w:t>
        </w:r>
      </w:hyperlink>
      <w:r w:rsidR="00FD1809" w:rsidRPr="00202A38">
        <w:rPr>
          <w:rFonts w:cstheme="minorHAnsi"/>
          <w:color w:val="393B3E"/>
          <w:sz w:val="24"/>
          <w:szCs w:val="24"/>
        </w:rPr>
        <w:t> </w:t>
      </w:r>
      <w:r w:rsidR="00FD1809" w:rsidRPr="009962A3">
        <w:rPr>
          <w:rFonts w:cstheme="minorHAnsi"/>
          <w:sz w:val="24"/>
          <w:szCs w:val="24"/>
        </w:rPr>
        <w:t>and </w:t>
      </w:r>
      <w:hyperlink r:id="rId9" w:tooltip="https://nam02.safelinks.protection.outlook.com/?url=https%3A%2F%2Fprotect-us.mimecast.com%2Fs%2Fc_jtCL95KqSkV5pzSPKCek%3Fdomain%3Dhome.treasury.gov&amp;data=05%7C01%7Cirivera%40nada.org%7C9a0cf8daa88f482c26f508da8052e7c6%7C76442bc839d34bea86a937582aff2518%7C1" w:history="1">
        <w:r w:rsidR="00FD1809" w:rsidRPr="002B74FE">
          <w:rPr>
            <w:rStyle w:val="Hyperlink"/>
            <w:rFonts w:cstheme="minorHAnsi"/>
            <w:color w:val="0070C0"/>
            <w:sz w:val="24"/>
            <w:szCs w:val="24"/>
          </w:rPr>
          <w:t>FAQs</w:t>
        </w:r>
      </w:hyperlink>
      <w:r w:rsidR="00FD1809" w:rsidRPr="00202A38">
        <w:rPr>
          <w:rFonts w:cstheme="minorHAnsi"/>
          <w:color w:val="393B3E"/>
          <w:sz w:val="24"/>
          <w:szCs w:val="24"/>
        </w:rPr>
        <w:t xml:space="preserve"> </w:t>
      </w:r>
      <w:r w:rsidR="00FD1809" w:rsidRPr="009962A3">
        <w:rPr>
          <w:rFonts w:cstheme="minorHAnsi"/>
          <w:sz w:val="24"/>
          <w:szCs w:val="24"/>
        </w:rPr>
        <w:t>regarding vehicles eligible und</w:t>
      </w:r>
      <w:r w:rsidR="00FD1809" w:rsidRPr="00CB438A">
        <w:rPr>
          <w:rFonts w:cstheme="minorHAnsi"/>
          <w:sz w:val="24"/>
          <w:szCs w:val="24"/>
        </w:rPr>
        <w:t>er</w:t>
      </w:r>
      <w:r w:rsidR="00FD1809" w:rsidRPr="00CB438A">
        <w:rPr>
          <w:rStyle w:val="apple-converted-space"/>
          <w:rFonts w:cstheme="minorHAnsi"/>
          <w:sz w:val="24"/>
          <w:szCs w:val="24"/>
        </w:rPr>
        <w:t> </w:t>
      </w:r>
      <w:r w:rsidR="00FD1809" w:rsidRPr="00CB438A">
        <w:rPr>
          <w:rFonts w:cstheme="minorHAnsi"/>
          <w:sz w:val="24"/>
          <w:szCs w:val="24"/>
        </w:rPr>
        <w:t>this</w:t>
      </w:r>
      <w:r w:rsidR="00FD1809" w:rsidRPr="00CB438A">
        <w:rPr>
          <w:rStyle w:val="apple-converted-space"/>
          <w:rFonts w:cstheme="minorHAnsi"/>
          <w:sz w:val="24"/>
          <w:szCs w:val="24"/>
        </w:rPr>
        <w:t> </w:t>
      </w:r>
      <w:r w:rsidR="00FD1809" w:rsidRPr="00CB438A">
        <w:rPr>
          <w:rFonts w:cstheme="minorHAnsi"/>
          <w:sz w:val="24"/>
          <w:szCs w:val="24"/>
        </w:rPr>
        <w:t>new</w:t>
      </w:r>
      <w:r w:rsidR="00FD1809" w:rsidRPr="00CB438A">
        <w:rPr>
          <w:rStyle w:val="apple-converted-space"/>
          <w:rFonts w:cstheme="minorHAnsi"/>
          <w:sz w:val="24"/>
          <w:szCs w:val="24"/>
        </w:rPr>
        <w:t> </w:t>
      </w:r>
      <w:r w:rsidR="00FD1809" w:rsidRPr="00CB438A">
        <w:rPr>
          <w:rFonts w:cstheme="minorHAnsi"/>
          <w:sz w:val="24"/>
          <w:szCs w:val="24"/>
        </w:rPr>
        <w:t>requirement.</w:t>
      </w:r>
      <w:r w:rsidR="00FD1809" w:rsidRPr="00202A38">
        <w:rPr>
          <w:rStyle w:val="apple-converted-space"/>
          <w:rFonts w:cstheme="minorHAnsi"/>
          <w:sz w:val="24"/>
          <w:szCs w:val="24"/>
        </w:rPr>
        <w:t> </w:t>
      </w:r>
      <w:r w:rsidR="00FD1809" w:rsidRPr="00202A38">
        <w:rPr>
          <w:rFonts w:cstheme="minorHAnsi"/>
          <w:sz w:val="24"/>
          <w:szCs w:val="24"/>
        </w:rPr>
        <w:t>Dealers can enter a Vehicle Identification Number (VI</w:t>
      </w:r>
      <w:r w:rsidR="00FD1809" w:rsidRPr="00202A38">
        <w:rPr>
          <w:rFonts w:cstheme="minorHAnsi"/>
          <w:color w:val="393B3E"/>
          <w:sz w:val="24"/>
          <w:szCs w:val="24"/>
        </w:rPr>
        <w:t>N) into a </w:t>
      </w:r>
      <w:hyperlink r:id="rId10" w:tooltip="https://nam02.safelinks.protection.outlook.com/?url=https%3A%2F%2Fprotect-us.mimecast.com%2Fs%2FYGPkCM85Lrs2DG0nhWzrI_%3Fdomain%3Dnhtsa.gov&amp;data=05%7C01%7Cirivera%40nada.org%7C9a0cf8daa88f482c26f508da8052e7c6%7C76442bc839d34bea86a937582aff2518%7C1%7C0%7C6" w:history="1">
        <w:r w:rsidR="00FD1809" w:rsidRPr="002B74FE">
          <w:rPr>
            <w:rStyle w:val="Hyperlink"/>
            <w:rFonts w:cstheme="minorHAnsi"/>
            <w:color w:val="0070C0"/>
            <w:sz w:val="24"/>
            <w:szCs w:val="24"/>
          </w:rPr>
          <w:t>site provided by DOT</w:t>
        </w:r>
      </w:hyperlink>
      <w:r w:rsidR="00FD1809" w:rsidRPr="00202A38">
        <w:rPr>
          <w:rFonts w:cstheme="minorHAnsi"/>
          <w:color w:val="393B3E"/>
          <w:sz w:val="24"/>
          <w:szCs w:val="24"/>
        </w:rPr>
        <w:t> </w:t>
      </w:r>
      <w:r w:rsidR="00FD1809" w:rsidRPr="009962A3">
        <w:rPr>
          <w:rFonts w:cstheme="minorHAnsi"/>
          <w:sz w:val="24"/>
          <w:szCs w:val="24"/>
        </w:rPr>
        <w:t xml:space="preserve">to </w:t>
      </w:r>
      <w:r w:rsidR="00FD1809" w:rsidRPr="00202A38">
        <w:rPr>
          <w:rFonts w:cstheme="minorHAnsi"/>
          <w:sz w:val="24"/>
          <w:szCs w:val="24"/>
        </w:rPr>
        <w:t>determine</w:t>
      </w:r>
      <w:r w:rsidR="00FD1809" w:rsidRPr="00202A38">
        <w:rPr>
          <w:rStyle w:val="apple-converted-space"/>
          <w:rFonts w:cstheme="minorHAnsi"/>
          <w:sz w:val="24"/>
          <w:szCs w:val="24"/>
        </w:rPr>
        <w:t> </w:t>
      </w:r>
      <w:r w:rsidR="00FD1809" w:rsidRPr="00202A38">
        <w:rPr>
          <w:rFonts w:cstheme="minorHAnsi"/>
          <w:sz w:val="24"/>
          <w:szCs w:val="24"/>
        </w:rPr>
        <w:t xml:space="preserve">such eligibility. </w:t>
      </w:r>
    </w:p>
    <w:p w14:paraId="65BF1738" w14:textId="77777777" w:rsidR="00FD1809" w:rsidRPr="00202A38" w:rsidRDefault="00FD1809" w:rsidP="00FD1809">
      <w:pPr>
        <w:pStyle w:val="ListParagraph"/>
        <w:numPr>
          <w:ilvl w:val="0"/>
          <w:numId w:val="3"/>
        </w:numPr>
        <w:rPr>
          <w:rFonts w:cstheme="minorHAnsi"/>
          <w:color w:val="393B3E"/>
          <w:sz w:val="24"/>
          <w:szCs w:val="24"/>
        </w:rPr>
      </w:pPr>
      <w:r w:rsidRPr="00202A38">
        <w:rPr>
          <w:rFonts w:cstheme="minorHAnsi"/>
          <w:sz w:val="24"/>
          <w:szCs w:val="24"/>
        </w:rPr>
        <w:t xml:space="preserve">In </w:t>
      </w:r>
      <w:r w:rsidRPr="009962A3">
        <w:rPr>
          <w:rFonts w:cstheme="minorHAnsi"/>
          <w:sz w:val="24"/>
          <w:szCs w:val="24"/>
        </w:rPr>
        <w:t>addition, the Department of Energy published a </w:t>
      </w:r>
      <w:hyperlink r:id="rId11" w:tooltip="https://nam02.safelinks.protection.outlook.com/?url=https%3A%2F%2Fprotect-us.mimecast.com%2Fs%2FIqyrCNk5MvcZJ1rgcrtoXk%3Fdomain%3Dafdc.energy.gov&amp;data=05%7C01%7Cirivera%40nada.org%7C9a0cf8daa88f482c26f508da8052e7c6%7C76442bc839d34bea86a937582aff2518%7C1%7" w:history="1">
        <w:r w:rsidRPr="002B74FE">
          <w:rPr>
            <w:rStyle w:val="Hyperlink"/>
            <w:rFonts w:cstheme="minorHAnsi"/>
            <w:color w:val="0070C0"/>
            <w:sz w:val="24"/>
            <w:szCs w:val="24"/>
          </w:rPr>
          <w:t>list of Model Year 2022 and early Model Year 2023 electric vehicles that</w:t>
        </w:r>
        <w:r w:rsidRPr="002B74FE">
          <w:rPr>
            <w:rStyle w:val="apple-converted-space"/>
            <w:rFonts w:cstheme="minorHAnsi"/>
            <w:color w:val="0070C0"/>
            <w:sz w:val="24"/>
            <w:szCs w:val="24"/>
            <w:u w:val="single"/>
          </w:rPr>
          <w:t> </w:t>
        </w:r>
        <w:r w:rsidRPr="002B74FE">
          <w:rPr>
            <w:rStyle w:val="Hyperlink"/>
            <w:rFonts w:cstheme="minorHAnsi"/>
            <w:color w:val="0070C0"/>
            <w:sz w:val="24"/>
            <w:szCs w:val="24"/>
          </w:rPr>
          <w:t>are</w:t>
        </w:r>
        <w:r w:rsidRPr="002B74FE">
          <w:rPr>
            <w:rStyle w:val="apple-converted-space"/>
            <w:rFonts w:cstheme="minorHAnsi"/>
            <w:color w:val="0070C0"/>
            <w:sz w:val="24"/>
            <w:szCs w:val="24"/>
            <w:u w:val="single"/>
          </w:rPr>
          <w:t> </w:t>
        </w:r>
        <w:r w:rsidRPr="002B74FE">
          <w:rPr>
            <w:rStyle w:val="Hyperlink"/>
            <w:rFonts w:cstheme="minorHAnsi"/>
            <w:color w:val="0070C0"/>
            <w:sz w:val="24"/>
            <w:szCs w:val="24"/>
          </w:rPr>
          <w:t>likely meet the final assembly requirement</w:t>
        </w:r>
      </w:hyperlink>
      <w:r w:rsidRPr="00202A38">
        <w:rPr>
          <w:rFonts w:cstheme="minorHAnsi"/>
          <w:color w:val="393B3E"/>
          <w:sz w:val="24"/>
          <w:szCs w:val="24"/>
        </w:rPr>
        <w:t xml:space="preserve">. </w:t>
      </w:r>
    </w:p>
    <w:p w14:paraId="6EEABCD9" w14:textId="3BF8276B" w:rsidR="00FD1809" w:rsidRPr="00B37543" w:rsidRDefault="00FD1809" w:rsidP="00FD180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9962A3">
        <w:rPr>
          <w:rFonts w:cstheme="minorHAnsi"/>
          <w:sz w:val="24"/>
          <w:szCs w:val="24"/>
        </w:rPr>
        <w:t xml:space="preserve">Individuals who </w:t>
      </w:r>
      <w:proofErr w:type="gramStart"/>
      <w:r w:rsidRPr="009962A3">
        <w:rPr>
          <w:rFonts w:cstheme="minorHAnsi"/>
          <w:sz w:val="24"/>
          <w:szCs w:val="24"/>
        </w:rPr>
        <w:t>entered into</w:t>
      </w:r>
      <w:proofErr w:type="gramEnd"/>
      <w:r w:rsidRPr="009962A3">
        <w:rPr>
          <w:rFonts w:cstheme="minorHAnsi"/>
          <w:sz w:val="24"/>
          <w:szCs w:val="24"/>
        </w:rPr>
        <w:t xml:space="preserve"> a written binding contract to purchase a new qualifying EV before </w:t>
      </w:r>
      <w:r w:rsidR="00942239">
        <w:rPr>
          <w:rFonts w:cstheme="minorHAnsi"/>
          <w:sz w:val="24"/>
          <w:szCs w:val="24"/>
        </w:rPr>
        <w:t>8/16/22</w:t>
      </w:r>
      <w:r w:rsidRPr="009962A3">
        <w:rPr>
          <w:rFonts w:cstheme="minorHAnsi"/>
          <w:sz w:val="24"/>
          <w:szCs w:val="24"/>
        </w:rPr>
        <w:t xml:space="preserve">, but do not take possession of the vehicle until on or after </w:t>
      </w:r>
      <w:r w:rsidR="00942239">
        <w:rPr>
          <w:rFonts w:cstheme="minorHAnsi"/>
          <w:sz w:val="24"/>
          <w:szCs w:val="24"/>
        </w:rPr>
        <w:t>8/16/22</w:t>
      </w:r>
      <w:r w:rsidRPr="009962A3">
        <w:rPr>
          <w:rFonts w:cstheme="minorHAnsi"/>
          <w:sz w:val="24"/>
          <w:szCs w:val="24"/>
        </w:rPr>
        <w:t xml:space="preserve"> (for example, because the vehicle has </w:t>
      </w:r>
      <w:r w:rsidRPr="00CB438A">
        <w:rPr>
          <w:rFonts w:cstheme="minorHAnsi"/>
          <w:sz w:val="24"/>
          <w:szCs w:val="24"/>
        </w:rPr>
        <w:t>not been delivered), can claim the EV credit based on the rules in effect before the IRA’s enactment.</w:t>
      </w:r>
      <w:r w:rsidRPr="00CB438A">
        <w:rPr>
          <w:rStyle w:val="apple-converted-space"/>
          <w:rFonts w:cstheme="minorHAnsi"/>
          <w:sz w:val="24"/>
          <w:szCs w:val="24"/>
        </w:rPr>
        <w:t> </w:t>
      </w:r>
      <w:r w:rsidR="00071784">
        <w:rPr>
          <w:rStyle w:val="apple-converted-space"/>
          <w:rFonts w:cstheme="minorHAnsi"/>
          <w:sz w:val="24"/>
          <w:szCs w:val="24"/>
        </w:rPr>
        <w:t>T</w:t>
      </w:r>
      <w:r w:rsidRPr="00CB438A">
        <w:rPr>
          <w:rFonts w:cstheme="minorHAnsi"/>
          <w:sz w:val="24"/>
          <w:szCs w:val="24"/>
        </w:rPr>
        <w:t>hese earlier rules did not include the requirement that</w:t>
      </w:r>
      <w:r w:rsidRPr="00CB438A">
        <w:rPr>
          <w:rStyle w:val="apple-converted-space"/>
          <w:rFonts w:cstheme="minorHAnsi"/>
          <w:sz w:val="24"/>
          <w:szCs w:val="24"/>
        </w:rPr>
        <w:t> </w:t>
      </w:r>
      <w:r w:rsidRPr="00CB438A">
        <w:rPr>
          <w:rFonts w:cstheme="minorHAnsi"/>
          <w:sz w:val="24"/>
          <w:szCs w:val="24"/>
        </w:rPr>
        <w:t>the vehicle</w:t>
      </w:r>
      <w:r w:rsidRPr="00CB438A">
        <w:rPr>
          <w:rStyle w:val="apple-converted-space"/>
          <w:rFonts w:cstheme="minorHAnsi"/>
          <w:sz w:val="24"/>
          <w:szCs w:val="24"/>
        </w:rPr>
        <w:t> </w:t>
      </w:r>
      <w:r w:rsidRPr="00CB438A">
        <w:rPr>
          <w:rFonts w:cstheme="minorHAnsi"/>
          <w:sz w:val="24"/>
          <w:szCs w:val="24"/>
        </w:rPr>
        <w:t>be assembled in North America</w:t>
      </w:r>
      <w:r w:rsidRPr="009962A3">
        <w:rPr>
          <w:rFonts w:cstheme="minorHAnsi"/>
          <w:sz w:val="24"/>
          <w:szCs w:val="24"/>
        </w:rPr>
        <w:t>. The IRS provided new guidance for its</w:t>
      </w:r>
      <w:r w:rsidRPr="009962A3">
        <w:rPr>
          <w:rStyle w:val="apple-converted-space"/>
          <w:rFonts w:cstheme="minorHAnsi"/>
          <w:sz w:val="24"/>
          <w:szCs w:val="24"/>
        </w:rPr>
        <w:t> </w:t>
      </w:r>
      <w:hyperlink r:id="rId12" w:tooltip="https://www.irs.gov/businesses/plug-in-electric-vehicle-credit-irc-30-and-irc-30d?source=email" w:history="1">
        <w:r w:rsidRPr="002B74FE">
          <w:rPr>
            <w:rStyle w:val="Hyperlink"/>
            <w:rFonts w:cstheme="minorHAnsi"/>
            <w:color w:val="0070C0"/>
            <w:sz w:val="24"/>
            <w:szCs w:val="24"/>
          </w:rPr>
          <w:t>definition of “a written binding contract” here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2EAA1404" w14:textId="1B86FD20" w:rsidR="00FD1809" w:rsidRDefault="001A22E1" w:rsidP="00FD1809">
      <w:pPr>
        <w:rPr>
          <w:rFonts w:cstheme="minorHAnsi"/>
          <w:sz w:val="24"/>
          <w:szCs w:val="24"/>
        </w:rPr>
      </w:pPr>
      <w:bookmarkStart w:id="0" w:name="_Hlk111648890"/>
      <w:r w:rsidRPr="004F7B21">
        <w:rPr>
          <w:rFonts w:cstheme="minorHAnsi"/>
          <w:sz w:val="24"/>
          <w:szCs w:val="24"/>
        </w:rPr>
        <w:t>•</w:t>
      </w:r>
      <w:bookmarkEnd w:id="0"/>
      <w:r w:rsidR="00E3763F">
        <w:rPr>
          <w:rFonts w:cstheme="minorHAnsi"/>
          <w:sz w:val="24"/>
          <w:szCs w:val="24"/>
        </w:rPr>
        <w:t xml:space="preserve"> </w:t>
      </w:r>
      <w:r w:rsidR="00FD1809">
        <w:rPr>
          <w:rFonts w:cstheme="minorHAnsi"/>
          <w:sz w:val="24"/>
          <w:szCs w:val="24"/>
        </w:rPr>
        <w:t xml:space="preserve">Except for the final assembly requirement described above, </w:t>
      </w:r>
      <w:r w:rsidR="00BA2FE4">
        <w:rPr>
          <w:rFonts w:cstheme="minorHAnsi"/>
          <w:sz w:val="24"/>
          <w:szCs w:val="24"/>
        </w:rPr>
        <w:t>preserves the existing Section 30D tax credit for all vehicles placed into service on or before 12/</w:t>
      </w:r>
      <w:r w:rsidR="006A6A84">
        <w:rPr>
          <w:rFonts w:cstheme="minorHAnsi"/>
          <w:sz w:val="24"/>
          <w:szCs w:val="24"/>
        </w:rPr>
        <w:t>3</w:t>
      </w:r>
      <w:r w:rsidR="00BA2FE4">
        <w:rPr>
          <w:rFonts w:cstheme="minorHAnsi"/>
          <w:sz w:val="24"/>
          <w:szCs w:val="24"/>
        </w:rPr>
        <w:t>1/22.</w:t>
      </w:r>
    </w:p>
    <w:p w14:paraId="51E32B5C" w14:textId="67EC58D5" w:rsidR="0079709F" w:rsidRDefault="00FD1809" w:rsidP="0079709F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•</w:t>
      </w:r>
      <w:r w:rsidRPr="00FD1809">
        <w:rPr>
          <w:rFonts w:cstheme="minorHAnsi"/>
          <w:sz w:val="24"/>
          <w:szCs w:val="24"/>
        </w:rPr>
        <w:t xml:space="preserve"> </w:t>
      </w:r>
      <w:r w:rsidR="00BA2FE4">
        <w:rPr>
          <w:rFonts w:cstheme="minorHAnsi"/>
          <w:sz w:val="24"/>
          <w:szCs w:val="24"/>
        </w:rPr>
        <w:t>Beginning on 1/1/23, c</w:t>
      </w:r>
      <w:r w:rsidRPr="004F7B21">
        <w:rPr>
          <w:rFonts w:cstheme="minorHAnsi"/>
          <w:sz w:val="24"/>
          <w:szCs w:val="24"/>
        </w:rPr>
        <w:t>reates a</w:t>
      </w:r>
      <w:r w:rsidR="00BA2FE4">
        <w:rPr>
          <w:rFonts w:cstheme="minorHAnsi"/>
          <w:sz w:val="24"/>
          <w:szCs w:val="24"/>
        </w:rPr>
        <w:t xml:space="preserve"> revised</w:t>
      </w:r>
      <w:r w:rsidRPr="004F7B21">
        <w:rPr>
          <w:rFonts w:cstheme="minorHAnsi"/>
          <w:sz w:val="24"/>
          <w:szCs w:val="24"/>
        </w:rPr>
        <w:t xml:space="preserve"> tax credit for purchases of new plug-in electric motor vehicles</w:t>
      </w:r>
      <w:r w:rsidR="00BA2FE4">
        <w:rPr>
          <w:rFonts w:cstheme="minorHAnsi"/>
          <w:sz w:val="24"/>
          <w:szCs w:val="24"/>
        </w:rPr>
        <w:t>;</w:t>
      </w:r>
      <w:r w:rsidRPr="004F7B21">
        <w:rPr>
          <w:rFonts w:cstheme="minorHAnsi"/>
          <w:sz w:val="24"/>
          <w:szCs w:val="24"/>
        </w:rPr>
        <w:t xml:space="preserve"> </w:t>
      </w:r>
      <w:r w:rsidR="00BA2FE4">
        <w:rPr>
          <w:rFonts w:cstheme="minorHAnsi"/>
          <w:sz w:val="24"/>
          <w:szCs w:val="24"/>
        </w:rPr>
        <w:t>s</w:t>
      </w:r>
      <w:r w:rsidRPr="004F7B21">
        <w:rPr>
          <w:rFonts w:cstheme="minorHAnsi"/>
          <w:sz w:val="24"/>
          <w:szCs w:val="24"/>
        </w:rPr>
        <w:t>ets the base credit amount at $3,750 each for clean vehicles meeting the critical</w:t>
      </w:r>
      <w:r>
        <w:rPr>
          <w:rFonts w:cstheme="minorHAnsi"/>
          <w:sz w:val="24"/>
          <w:szCs w:val="24"/>
        </w:rPr>
        <w:t xml:space="preserve"> </w:t>
      </w:r>
      <w:r w:rsidRPr="004F7B21">
        <w:rPr>
          <w:rFonts w:cstheme="minorHAnsi"/>
          <w:sz w:val="24"/>
          <w:szCs w:val="24"/>
        </w:rPr>
        <w:t xml:space="preserve">minerals </w:t>
      </w:r>
      <w:r w:rsidR="00BA2FE4">
        <w:rPr>
          <w:rFonts w:cstheme="minorHAnsi"/>
          <w:sz w:val="24"/>
          <w:szCs w:val="24"/>
        </w:rPr>
        <w:t xml:space="preserve">requirements </w:t>
      </w:r>
      <w:r w:rsidRPr="004F7B21">
        <w:rPr>
          <w:rFonts w:cstheme="minorHAnsi"/>
          <w:sz w:val="24"/>
          <w:szCs w:val="24"/>
        </w:rPr>
        <w:t xml:space="preserve">and </w:t>
      </w:r>
      <w:r w:rsidR="00BA2FE4">
        <w:rPr>
          <w:rFonts w:cstheme="minorHAnsi"/>
          <w:sz w:val="24"/>
          <w:szCs w:val="24"/>
        </w:rPr>
        <w:t>another $3</w:t>
      </w:r>
      <w:r w:rsidR="001B68F7">
        <w:rPr>
          <w:rFonts w:cstheme="minorHAnsi"/>
          <w:sz w:val="24"/>
          <w:szCs w:val="24"/>
        </w:rPr>
        <w:t>,</w:t>
      </w:r>
      <w:r w:rsidR="00BA2FE4">
        <w:rPr>
          <w:rFonts w:cstheme="minorHAnsi"/>
          <w:sz w:val="24"/>
          <w:szCs w:val="24"/>
        </w:rPr>
        <w:t xml:space="preserve">750 each for clean vehicles meeting the </w:t>
      </w:r>
      <w:r w:rsidRPr="004F7B21">
        <w:rPr>
          <w:rFonts w:cstheme="minorHAnsi"/>
          <w:sz w:val="24"/>
          <w:szCs w:val="24"/>
        </w:rPr>
        <w:t>battery</w:t>
      </w:r>
      <w:r>
        <w:rPr>
          <w:rFonts w:cstheme="minorHAnsi"/>
          <w:sz w:val="24"/>
          <w:szCs w:val="24"/>
        </w:rPr>
        <w:t xml:space="preserve"> </w:t>
      </w:r>
      <w:r w:rsidRPr="004F7B21">
        <w:rPr>
          <w:rFonts w:cstheme="minorHAnsi"/>
          <w:sz w:val="24"/>
          <w:szCs w:val="24"/>
        </w:rPr>
        <w:t xml:space="preserve">components requirements, for a </w:t>
      </w:r>
      <w:r w:rsidR="00071784">
        <w:rPr>
          <w:rFonts w:cstheme="minorHAnsi"/>
          <w:sz w:val="24"/>
          <w:szCs w:val="24"/>
        </w:rPr>
        <w:t xml:space="preserve">potential </w:t>
      </w:r>
      <w:r w:rsidRPr="004F7B21">
        <w:rPr>
          <w:rFonts w:cstheme="minorHAnsi"/>
          <w:sz w:val="24"/>
          <w:szCs w:val="24"/>
        </w:rPr>
        <w:t xml:space="preserve">total of $7,500 in tax credits for vehicles placed in service </w:t>
      </w:r>
      <w:r w:rsidR="00CA4677">
        <w:rPr>
          <w:rFonts w:cstheme="minorHAnsi"/>
          <w:sz w:val="24"/>
          <w:szCs w:val="24"/>
        </w:rPr>
        <w:t>beginning on 1/1/</w:t>
      </w:r>
      <w:r w:rsidRPr="004F7B21">
        <w:rPr>
          <w:rFonts w:cstheme="minorHAnsi"/>
          <w:sz w:val="24"/>
          <w:szCs w:val="24"/>
        </w:rPr>
        <w:t xml:space="preserve">22 </w:t>
      </w:r>
      <w:r w:rsidR="00CA4677">
        <w:rPr>
          <w:rFonts w:cstheme="minorHAnsi"/>
          <w:sz w:val="24"/>
          <w:szCs w:val="24"/>
        </w:rPr>
        <w:t>and ending on 12/31/</w:t>
      </w:r>
      <w:r w:rsidRPr="004F7B21">
        <w:rPr>
          <w:rFonts w:cstheme="minorHAnsi"/>
          <w:sz w:val="24"/>
          <w:szCs w:val="24"/>
        </w:rPr>
        <w:t>32.</w:t>
      </w:r>
    </w:p>
    <w:p w14:paraId="1850B782" w14:textId="3476F008" w:rsidR="001A22E1" w:rsidRPr="004F7B21" w:rsidRDefault="001A22E1" w:rsidP="0079709F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 xml:space="preserve">• Disallows the credit for vehicles with a </w:t>
      </w:r>
      <w:r w:rsidRPr="005A0106">
        <w:rPr>
          <w:rFonts w:cstheme="minorHAnsi"/>
          <w:b/>
          <w:bCs/>
          <w:sz w:val="24"/>
          <w:szCs w:val="24"/>
        </w:rPr>
        <w:t>manufacturer’s suggested retail price</w:t>
      </w:r>
      <w:r w:rsidRPr="004F7B21">
        <w:rPr>
          <w:rFonts w:cstheme="minorHAnsi"/>
          <w:sz w:val="24"/>
          <w:szCs w:val="24"/>
        </w:rPr>
        <w:t xml:space="preserve"> that exceeds:</w:t>
      </w:r>
    </w:p>
    <w:p w14:paraId="6B9CB371" w14:textId="2E0D8B45" w:rsidR="001A22E1" w:rsidRPr="009962A3" w:rsidRDefault="001A22E1" w:rsidP="009962A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962A3">
        <w:rPr>
          <w:rFonts w:cstheme="minorHAnsi"/>
          <w:sz w:val="24"/>
          <w:szCs w:val="24"/>
        </w:rPr>
        <w:t xml:space="preserve">$80,000 for vans, </w:t>
      </w:r>
      <w:proofErr w:type="gramStart"/>
      <w:r w:rsidRPr="009962A3">
        <w:rPr>
          <w:rFonts w:cstheme="minorHAnsi"/>
          <w:sz w:val="24"/>
          <w:szCs w:val="24"/>
        </w:rPr>
        <w:t>SUVs</w:t>
      </w:r>
      <w:proofErr w:type="gramEnd"/>
      <w:r w:rsidRPr="009962A3">
        <w:rPr>
          <w:rFonts w:cstheme="minorHAnsi"/>
          <w:sz w:val="24"/>
          <w:szCs w:val="24"/>
        </w:rPr>
        <w:t xml:space="preserve"> and pickup trucks, and</w:t>
      </w:r>
    </w:p>
    <w:p w14:paraId="759CDF3F" w14:textId="58A49DD9" w:rsidR="001A22E1" w:rsidRPr="009962A3" w:rsidRDefault="001A22E1" w:rsidP="009962A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962A3">
        <w:rPr>
          <w:rFonts w:cstheme="minorHAnsi"/>
          <w:sz w:val="24"/>
          <w:szCs w:val="24"/>
        </w:rPr>
        <w:t>$55,000 for any other vehicle.</w:t>
      </w:r>
    </w:p>
    <w:p w14:paraId="51B2847E" w14:textId="2B361C48" w:rsidR="001A22E1" w:rsidRPr="004F7B21" w:rsidRDefault="001A22E1" w:rsidP="001A22E1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lastRenderedPageBreak/>
        <w:t xml:space="preserve">• Disallows the credit for buyers with a </w:t>
      </w:r>
      <w:r w:rsidRPr="005A0106">
        <w:rPr>
          <w:rFonts w:cstheme="minorHAnsi"/>
          <w:b/>
          <w:bCs/>
          <w:sz w:val="24"/>
          <w:szCs w:val="24"/>
        </w:rPr>
        <w:t>modified adjusted gross income</w:t>
      </w:r>
      <w:r w:rsidRPr="004F7B21">
        <w:rPr>
          <w:rFonts w:cstheme="minorHAnsi"/>
          <w:sz w:val="24"/>
          <w:szCs w:val="24"/>
        </w:rPr>
        <w:t xml:space="preserve"> of more than</w:t>
      </w:r>
      <w:r w:rsidR="00E43F83" w:rsidRPr="004F7B21">
        <w:rPr>
          <w:rFonts w:cstheme="minorHAnsi"/>
          <w:sz w:val="24"/>
          <w:szCs w:val="24"/>
        </w:rPr>
        <w:t xml:space="preserve"> </w:t>
      </w:r>
      <w:r w:rsidRPr="004F7B21">
        <w:rPr>
          <w:rFonts w:cstheme="minorHAnsi"/>
          <w:sz w:val="24"/>
          <w:szCs w:val="24"/>
        </w:rPr>
        <w:t>$150,000 ($300,000 for married couples filing jointly and $225,000 for head of household</w:t>
      </w:r>
      <w:r w:rsidR="00E8174C" w:rsidRPr="004F7B21">
        <w:rPr>
          <w:rFonts w:cstheme="minorHAnsi"/>
          <w:sz w:val="24"/>
          <w:szCs w:val="24"/>
        </w:rPr>
        <w:t xml:space="preserve"> </w:t>
      </w:r>
      <w:r w:rsidRPr="004F7B21">
        <w:rPr>
          <w:rFonts w:cstheme="minorHAnsi"/>
          <w:sz w:val="24"/>
          <w:szCs w:val="24"/>
        </w:rPr>
        <w:t>filers)</w:t>
      </w:r>
      <w:r w:rsidR="000B5F22">
        <w:rPr>
          <w:rFonts w:cstheme="minorHAnsi"/>
          <w:sz w:val="24"/>
          <w:szCs w:val="24"/>
        </w:rPr>
        <w:t xml:space="preserve"> in both the year before and the year of the purchase</w:t>
      </w:r>
      <w:r w:rsidRPr="004F7B21">
        <w:rPr>
          <w:rFonts w:cstheme="minorHAnsi"/>
          <w:sz w:val="24"/>
          <w:szCs w:val="24"/>
        </w:rPr>
        <w:t>.</w:t>
      </w:r>
    </w:p>
    <w:p w14:paraId="44DF8B4B" w14:textId="7013C895" w:rsidR="00FC55E7" w:rsidRPr="004F7B21" w:rsidRDefault="001A22E1" w:rsidP="001A22E1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•</w:t>
      </w:r>
      <w:r w:rsidR="00E054DC">
        <w:rPr>
          <w:rFonts w:cstheme="minorHAnsi"/>
          <w:sz w:val="24"/>
          <w:szCs w:val="24"/>
        </w:rPr>
        <w:t xml:space="preserve"> </w:t>
      </w:r>
      <w:r w:rsidRPr="004F7B21">
        <w:rPr>
          <w:rFonts w:cstheme="minorHAnsi"/>
          <w:sz w:val="24"/>
          <w:szCs w:val="24"/>
        </w:rPr>
        <w:t xml:space="preserve">Requires dealers to report to the buyer and the IRS </w:t>
      </w:r>
      <w:r w:rsidR="00FC55E7" w:rsidRPr="004F7B21">
        <w:rPr>
          <w:rFonts w:cstheme="minorHAnsi"/>
          <w:sz w:val="24"/>
          <w:szCs w:val="24"/>
        </w:rPr>
        <w:t xml:space="preserve">the following </w:t>
      </w:r>
      <w:r w:rsidRPr="004F7B21">
        <w:rPr>
          <w:rFonts w:cstheme="minorHAnsi"/>
          <w:sz w:val="24"/>
          <w:szCs w:val="24"/>
        </w:rPr>
        <w:t>information</w:t>
      </w:r>
      <w:r w:rsidR="00FC55E7" w:rsidRPr="004F7B21">
        <w:rPr>
          <w:rFonts w:cstheme="minorHAnsi"/>
          <w:sz w:val="24"/>
          <w:szCs w:val="24"/>
        </w:rPr>
        <w:t>:</w:t>
      </w:r>
    </w:p>
    <w:p w14:paraId="6504F6F1" w14:textId="4202FA02" w:rsidR="00FC55E7" w:rsidRPr="004F7B21" w:rsidRDefault="00FC55E7" w:rsidP="00D5679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 xml:space="preserve">Name and taxpayer ID number of the </w:t>
      </w:r>
      <w:r w:rsidR="00240AFC">
        <w:rPr>
          <w:rFonts w:cstheme="minorHAnsi"/>
          <w:sz w:val="24"/>
          <w:szCs w:val="24"/>
        </w:rPr>
        <w:t>buyer</w:t>
      </w:r>
      <w:r w:rsidRPr="004F7B21">
        <w:rPr>
          <w:rFonts w:cstheme="minorHAnsi"/>
          <w:sz w:val="24"/>
          <w:szCs w:val="24"/>
        </w:rPr>
        <w:t>;</w:t>
      </w:r>
    </w:p>
    <w:p w14:paraId="0FFA34B6" w14:textId="1501C73E" w:rsidR="00FC55E7" w:rsidRPr="004F7B21" w:rsidRDefault="00FC55E7" w:rsidP="00D5679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VIN of the vehicle</w:t>
      </w:r>
      <w:r w:rsidR="00C50DBE" w:rsidRPr="004F7B21">
        <w:rPr>
          <w:rFonts w:cstheme="minorHAnsi"/>
          <w:sz w:val="24"/>
          <w:szCs w:val="24"/>
        </w:rPr>
        <w:t>;</w:t>
      </w:r>
    </w:p>
    <w:p w14:paraId="69B3F019" w14:textId="01C5D01E" w:rsidR="00FC55E7" w:rsidRPr="004F7B21" w:rsidRDefault="00FC55E7" w:rsidP="00D5679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Battery capacity of the vehicle</w:t>
      </w:r>
      <w:r w:rsidR="00C50DBE" w:rsidRPr="004F7B21">
        <w:rPr>
          <w:rFonts w:cstheme="minorHAnsi"/>
          <w:sz w:val="24"/>
          <w:szCs w:val="24"/>
        </w:rPr>
        <w:t>;</w:t>
      </w:r>
    </w:p>
    <w:p w14:paraId="50784FD8" w14:textId="073DFE90" w:rsidR="00FC55E7" w:rsidRPr="004F7B21" w:rsidRDefault="00FC55E7" w:rsidP="00D5679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 xml:space="preserve">Verification that the original use of the vehicle commences with the </w:t>
      </w:r>
      <w:r w:rsidR="00240AFC">
        <w:rPr>
          <w:rFonts w:cstheme="minorHAnsi"/>
          <w:sz w:val="24"/>
          <w:szCs w:val="24"/>
        </w:rPr>
        <w:t>buyer</w:t>
      </w:r>
      <w:r w:rsidR="00C50DBE" w:rsidRPr="004F7B21">
        <w:rPr>
          <w:rFonts w:cstheme="minorHAnsi"/>
          <w:sz w:val="24"/>
          <w:szCs w:val="24"/>
        </w:rPr>
        <w:t>;</w:t>
      </w:r>
      <w:r w:rsidR="00240AFC">
        <w:rPr>
          <w:rFonts w:cstheme="minorHAnsi"/>
          <w:sz w:val="24"/>
          <w:szCs w:val="24"/>
        </w:rPr>
        <w:t xml:space="preserve"> and</w:t>
      </w:r>
    </w:p>
    <w:p w14:paraId="2C568FD6" w14:textId="705B9A00" w:rsidR="00240AFC" w:rsidRPr="00240AFC" w:rsidRDefault="00FC55E7" w:rsidP="00240AF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40AFC">
        <w:rPr>
          <w:rFonts w:cstheme="minorHAnsi"/>
          <w:sz w:val="24"/>
          <w:szCs w:val="24"/>
        </w:rPr>
        <w:t>The amount of the credit (either $3,750 or $7,500)</w:t>
      </w:r>
      <w:r w:rsidR="00240AFC" w:rsidRPr="00240AFC">
        <w:rPr>
          <w:rFonts w:cstheme="minorHAnsi"/>
          <w:sz w:val="24"/>
          <w:szCs w:val="24"/>
        </w:rPr>
        <w:t xml:space="preserve">. </w:t>
      </w:r>
    </w:p>
    <w:p w14:paraId="51F0A49B" w14:textId="7DD4C177" w:rsidR="00F42171" w:rsidRPr="0079709F" w:rsidRDefault="00240AFC" w:rsidP="0079709F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Requires </w:t>
      </w:r>
      <w:r w:rsidR="00F42171" w:rsidRPr="0079709F">
        <w:rPr>
          <w:rFonts w:cstheme="minorHAnsi"/>
          <w:sz w:val="24"/>
          <w:szCs w:val="24"/>
        </w:rPr>
        <w:t xml:space="preserve">OEMs </w:t>
      </w:r>
      <w:r>
        <w:rPr>
          <w:rFonts w:cstheme="minorHAnsi"/>
          <w:sz w:val="24"/>
          <w:szCs w:val="24"/>
        </w:rPr>
        <w:t xml:space="preserve">to </w:t>
      </w:r>
      <w:r w:rsidR="00F42171" w:rsidRPr="0079709F">
        <w:rPr>
          <w:rFonts w:cstheme="minorHAnsi"/>
          <w:sz w:val="24"/>
          <w:szCs w:val="24"/>
        </w:rPr>
        <w:t>provide “periodic written reports” to the IRS providing VINs and “other information the [IRS] may require.”</w:t>
      </w:r>
      <w:r w:rsidR="00C50DBE" w:rsidRPr="0079709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="009770FE" w:rsidRPr="0079709F">
        <w:rPr>
          <w:rFonts w:cstheme="minorHAnsi"/>
          <w:sz w:val="24"/>
          <w:szCs w:val="24"/>
        </w:rPr>
        <w:t xml:space="preserve">This provision is intended to ensure </w:t>
      </w:r>
      <w:r w:rsidR="00984645">
        <w:rPr>
          <w:rFonts w:cstheme="minorHAnsi"/>
          <w:sz w:val="24"/>
          <w:szCs w:val="24"/>
        </w:rPr>
        <w:t xml:space="preserve">that </w:t>
      </w:r>
      <w:r w:rsidR="009770FE" w:rsidRPr="0079709F">
        <w:rPr>
          <w:rFonts w:cstheme="minorHAnsi"/>
          <w:sz w:val="24"/>
          <w:szCs w:val="24"/>
        </w:rPr>
        <w:t xml:space="preserve">dealers and the IRS have </w:t>
      </w:r>
      <w:r w:rsidR="00984645">
        <w:rPr>
          <w:rFonts w:cstheme="minorHAnsi"/>
          <w:sz w:val="24"/>
          <w:szCs w:val="24"/>
        </w:rPr>
        <w:t>i</w:t>
      </w:r>
      <w:r w:rsidR="007E449E" w:rsidRPr="0079709F">
        <w:rPr>
          <w:rFonts w:cstheme="minorHAnsi"/>
          <w:sz w:val="24"/>
          <w:szCs w:val="24"/>
        </w:rPr>
        <w:t>nformation on what specific vehicles qualify</w:t>
      </w:r>
      <w:r w:rsidR="009770FE" w:rsidRPr="0079709F">
        <w:rPr>
          <w:rFonts w:cstheme="minorHAnsi"/>
          <w:sz w:val="24"/>
          <w:szCs w:val="24"/>
        </w:rPr>
        <w:t xml:space="preserve"> for the credit.</w:t>
      </w:r>
      <w:r>
        <w:rPr>
          <w:rFonts w:cstheme="minorHAnsi"/>
          <w:sz w:val="24"/>
          <w:szCs w:val="24"/>
        </w:rPr>
        <w:t>)</w:t>
      </w:r>
      <w:r w:rsidR="007E449E" w:rsidRPr="0079709F">
        <w:rPr>
          <w:rFonts w:cstheme="minorHAnsi"/>
          <w:sz w:val="24"/>
          <w:szCs w:val="24"/>
        </w:rPr>
        <w:t xml:space="preserve"> </w:t>
      </w:r>
    </w:p>
    <w:p w14:paraId="5A7068CC" w14:textId="76D43617" w:rsidR="00F42171" w:rsidRDefault="00355FD6" w:rsidP="003B7897">
      <w:pPr>
        <w:spacing w:after="0" w:line="240" w:lineRule="auto"/>
        <w:rPr>
          <w:rFonts w:cstheme="minorHAnsi"/>
          <w:sz w:val="24"/>
          <w:szCs w:val="24"/>
        </w:rPr>
      </w:pPr>
      <w:r w:rsidRPr="006E6BDE">
        <w:rPr>
          <w:rFonts w:cstheme="minorHAnsi"/>
          <w:sz w:val="24"/>
          <w:szCs w:val="24"/>
        </w:rPr>
        <w:t xml:space="preserve">• </w:t>
      </w:r>
      <w:r w:rsidR="00240AFC">
        <w:rPr>
          <w:rFonts w:cstheme="minorHAnsi"/>
          <w:sz w:val="24"/>
          <w:szCs w:val="24"/>
        </w:rPr>
        <w:t>Extends application of the tax credit to f</w:t>
      </w:r>
      <w:r w:rsidR="00F42171" w:rsidRPr="006E6BDE">
        <w:rPr>
          <w:rFonts w:cstheme="minorHAnsi"/>
          <w:sz w:val="24"/>
          <w:szCs w:val="24"/>
        </w:rPr>
        <w:t>uel cell vehicles</w:t>
      </w:r>
      <w:r w:rsidR="009770FE" w:rsidRPr="006E6BDE">
        <w:rPr>
          <w:rFonts w:cstheme="minorHAnsi"/>
          <w:sz w:val="24"/>
          <w:szCs w:val="24"/>
        </w:rPr>
        <w:t>.</w:t>
      </w:r>
    </w:p>
    <w:p w14:paraId="10BC343F" w14:textId="77777777" w:rsidR="00B7718C" w:rsidRPr="006E6BDE" w:rsidRDefault="00B7718C" w:rsidP="00C13313">
      <w:pPr>
        <w:spacing w:after="0" w:line="240" w:lineRule="auto"/>
        <w:rPr>
          <w:rFonts w:cstheme="minorHAnsi"/>
          <w:sz w:val="24"/>
          <w:szCs w:val="24"/>
        </w:rPr>
      </w:pPr>
    </w:p>
    <w:p w14:paraId="1F937742" w14:textId="2C6A0AE1" w:rsidR="00F42171" w:rsidRPr="004F7B21" w:rsidRDefault="00453D07" w:rsidP="00C13313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F7B21">
        <w:rPr>
          <w:rFonts w:cstheme="minorHAnsi"/>
          <w:b/>
          <w:bCs/>
          <w:sz w:val="24"/>
          <w:szCs w:val="24"/>
          <w:u w:val="single"/>
        </w:rPr>
        <w:t xml:space="preserve">Critical Minerals and </w:t>
      </w:r>
      <w:r w:rsidR="00B126E5" w:rsidRPr="005A0106">
        <w:rPr>
          <w:rFonts w:cstheme="minorHAnsi"/>
          <w:b/>
          <w:bCs/>
          <w:sz w:val="24"/>
          <w:szCs w:val="24"/>
          <w:u w:val="single"/>
        </w:rPr>
        <w:t>Battery Components Requirements</w:t>
      </w:r>
      <w:r w:rsidR="00E054DC">
        <w:rPr>
          <w:rFonts w:cstheme="minorHAnsi"/>
          <w:b/>
          <w:bCs/>
          <w:sz w:val="24"/>
          <w:szCs w:val="24"/>
          <w:u w:val="single"/>
        </w:rPr>
        <w:br/>
      </w:r>
    </w:p>
    <w:p w14:paraId="3574E221" w14:textId="2CB9117C" w:rsidR="00B126E5" w:rsidRPr="004F7B21" w:rsidRDefault="00B126E5" w:rsidP="00693672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The contents of th</w:t>
      </w:r>
      <w:r w:rsidR="003C0A4C">
        <w:rPr>
          <w:rFonts w:cstheme="minorHAnsi"/>
          <w:sz w:val="24"/>
          <w:szCs w:val="24"/>
        </w:rPr>
        <w:t xml:space="preserve">ese </w:t>
      </w:r>
      <w:r w:rsidRPr="004F7B21">
        <w:rPr>
          <w:rFonts w:cstheme="minorHAnsi"/>
          <w:sz w:val="24"/>
          <w:szCs w:val="24"/>
        </w:rPr>
        <w:t>provision</w:t>
      </w:r>
      <w:r w:rsidR="003C0A4C">
        <w:rPr>
          <w:rFonts w:cstheme="minorHAnsi"/>
          <w:sz w:val="24"/>
          <w:szCs w:val="24"/>
        </w:rPr>
        <w:t>s</w:t>
      </w:r>
      <w:r w:rsidRPr="004F7B21">
        <w:rPr>
          <w:rFonts w:cstheme="minorHAnsi"/>
          <w:sz w:val="24"/>
          <w:szCs w:val="24"/>
        </w:rPr>
        <w:t xml:space="preserve"> are </w:t>
      </w:r>
      <w:r w:rsidR="00252D36">
        <w:rPr>
          <w:rFonts w:cstheme="minorHAnsi"/>
          <w:sz w:val="24"/>
          <w:szCs w:val="24"/>
        </w:rPr>
        <w:t xml:space="preserve">often </w:t>
      </w:r>
      <w:r w:rsidRPr="004F7B21">
        <w:rPr>
          <w:rFonts w:cstheme="minorHAnsi"/>
          <w:sz w:val="24"/>
          <w:szCs w:val="24"/>
        </w:rPr>
        <w:t xml:space="preserve">reported incorrectly by the press. </w:t>
      </w:r>
      <w:r w:rsidR="00E054DC">
        <w:rPr>
          <w:rFonts w:cstheme="minorHAnsi"/>
          <w:sz w:val="24"/>
          <w:szCs w:val="24"/>
        </w:rPr>
        <w:t xml:space="preserve">There are two related </w:t>
      </w:r>
      <w:r w:rsidR="005D41D7">
        <w:rPr>
          <w:rFonts w:cstheme="minorHAnsi"/>
          <w:sz w:val="24"/>
          <w:szCs w:val="24"/>
        </w:rPr>
        <w:t xml:space="preserve">but separate </w:t>
      </w:r>
      <w:r w:rsidR="00E054DC">
        <w:rPr>
          <w:rFonts w:cstheme="minorHAnsi"/>
          <w:sz w:val="24"/>
          <w:szCs w:val="24"/>
        </w:rPr>
        <w:t>requirements.</w:t>
      </w:r>
      <w:r w:rsidR="00F91CC4">
        <w:rPr>
          <w:rFonts w:cstheme="minorHAnsi"/>
          <w:sz w:val="24"/>
          <w:szCs w:val="24"/>
        </w:rPr>
        <w:t xml:space="preserve"> </w:t>
      </w:r>
      <w:r w:rsidR="00E054DC">
        <w:rPr>
          <w:rFonts w:cstheme="minorHAnsi"/>
          <w:sz w:val="24"/>
          <w:szCs w:val="24"/>
        </w:rPr>
        <w:t>The first is t</w:t>
      </w:r>
      <w:r w:rsidRPr="004F7B21">
        <w:rPr>
          <w:rFonts w:cstheme="minorHAnsi"/>
          <w:sz w:val="24"/>
          <w:szCs w:val="24"/>
        </w:rPr>
        <w:t xml:space="preserve">he </w:t>
      </w:r>
      <w:r w:rsidRPr="005A0106">
        <w:rPr>
          <w:rFonts w:cstheme="minorHAnsi"/>
          <w:sz w:val="24"/>
          <w:szCs w:val="24"/>
          <w:u w:val="single"/>
        </w:rPr>
        <w:t xml:space="preserve">critical </w:t>
      </w:r>
      <w:r w:rsidR="00453D07" w:rsidRPr="005A0106">
        <w:rPr>
          <w:rFonts w:cstheme="minorHAnsi"/>
          <w:sz w:val="24"/>
          <w:szCs w:val="24"/>
          <w:u w:val="single"/>
        </w:rPr>
        <w:t xml:space="preserve">minerals </w:t>
      </w:r>
      <w:r w:rsidRPr="005A0106">
        <w:rPr>
          <w:rFonts w:cstheme="minorHAnsi"/>
          <w:sz w:val="24"/>
          <w:szCs w:val="24"/>
          <w:u w:val="single"/>
        </w:rPr>
        <w:t>requirement</w:t>
      </w:r>
      <w:r w:rsidR="00E04228" w:rsidRPr="009962A3">
        <w:rPr>
          <w:rFonts w:cstheme="minorHAnsi"/>
          <w:sz w:val="24"/>
          <w:szCs w:val="24"/>
        </w:rPr>
        <w:t xml:space="preserve"> </w:t>
      </w:r>
      <w:r w:rsidR="00E054DC">
        <w:rPr>
          <w:rFonts w:cstheme="minorHAnsi"/>
          <w:sz w:val="24"/>
          <w:szCs w:val="24"/>
        </w:rPr>
        <w:t xml:space="preserve">which </w:t>
      </w:r>
      <w:r w:rsidR="00E04228" w:rsidRPr="005A0106">
        <w:rPr>
          <w:rFonts w:cstheme="minorHAnsi"/>
          <w:sz w:val="24"/>
          <w:szCs w:val="24"/>
        </w:rPr>
        <w:t xml:space="preserve">requires that </w:t>
      </w:r>
      <w:r w:rsidR="00E054DC">
        <w:rPr>
          <w:rFonts w:cstheme="minorHAnsi"/>
          <w:sz w:val="24"/>
          <w:szCs w:val="24"/>
        </w:rPr>
        <w:t xml:space="preserve">a certain </w:t>
      </w:r>
      <w:r w:rsidR="003C0A4C">
        <w:rPr>
          <w:rFonts w:cstheme="minorHAnsi"/>
          <w:sz w:val="24"/>
          <w:szCs w:val="24"/>
        </w:rPr>
        <w:t xml:space="preserve">minimum </w:t>
      </w:r>
      <w:r w:rsidR="00E054DC">
        <w:rPr>
          <w:rFonts w:cstheme="minorHAnsi"/>
          <w:sz w:val="24"/>
          <w:szCs w:val="24"/>
        </w:rPr>
        <w:t>percentage</w:t>
      </w:r>
      <w:r w:rsidR="005D41D7">
        <w:rPr>
          <w:rFonts w:cstheme="minorHAnsi"/>
          <w:sz w:val="24"/>
          <w:szCs w:val="24"/>
        </w:rPr>
        <w:t xml:space="preserve"> </w:t>
      </w:r>
      <w:r w:rsidR="00E054DC">
        <w:rPr>
          <w:rFonts w:cstheme="minorHAnsi"/>
          <w:sz w:val="24"/>
          <w:szCs w:val="24"/>
        </w:rPr>
        <w:t xml:space="preserve">of the </w:t>
      </w:r>
      <w:r w:rsidR="003C0A4C">
        <w:rPr>
          <w:rFonts w:cstheme="minorHAnsi"/>
          <w:sz w:val="24"/>
          <w:szCs w:val="24"/>
        </w:rPr>
        <w:t xml:space="preserve">value of the critical minerals contained in the vehicle’s battery be either (1) </w:t>
      </w:r>
      <w:r w:rsidR="00E04228" w:rsidRPr="005A0106">
        <w:rPr>
          <w:rFonts w:cstheme="minorHAnsi"/>
          <w:sz w:val="24"/>
          <w:szCs w:val="24"/>
        </w:rPr>
        <w:t>extracted or processed in the U</w:t>
      </w:r>
      <w:r w:rsidR="00705E5C" w:rsidRPr="005A0106">
        <w:rPr>
          <w:rFonts w:cstheme="minorHAnsi"/>
          <w:sz w:val="24"/>
          <w:szCs w:val="24"/>
        </w:rPr>
        <w:t>.</w:t>
      </w:r>
      <w:r w:rsidR="00E04228" w:rsidRPr="005A0106">
        <w:rPr>
          <w:rFonts w:cstheme="minorHAnsi"/>
          <w:sz w:val="24"/>
          <w:szCs w:val="24"/>
        </w:rPr>
        <w:t>S</w:t>
      </w:r>
      <w:r w:rsidR="00705E5C" w:rsidRPr="005A0106">
        <w:rPr>
          <w:rFonts w:cstheme="minorHAnsi"/>
          <w:sz w:val="24"/>
          <w:szCs w:val="24"/>
        </w:rPr>
        <w:t>.</w:t>
      </w:r>
      <w:r w:rsidR="00E04228" w:rsidRPr="005A0106">
        <w:rPr>
          <w:rFonts w:cstheme="minorHAnsi"/>
          <w:sz w:val="24"/>
          <w:szCs w:val="24"/>
        </w:rPr>
        <w:t xml:space="preserve"> or a </w:t>
      </w:r>
      <w:r w:rsidR="00705E5C" w:rsidRPr="005A0106">
        <w:rPr>
          <w:rFonts w:cstheme="minorHAnsi"/>
          <w:sz w:val="24"/>
          <w:szCs w:val="24"/>
        </w:rPr>
        <w:t>U</w:t>
      </w:r>
      <w:r w:rsidR="00355FD6">
        <w:rPr>
          <w:rFonts w:cstheme="minorHAnsi"/>
          <w:sz w:val="24"/>
          <w:szCs w:val="24"/>
        </w:rPr>
        <w:t>.</w:t>
      </w:r>
      <w:r w:rsidR="00705E5C" w:rsidRPr="005A0106">
        <w:rPr>
          <w:rFonts w:cstheme="minorHAnsi"/>
          <w:sz w:val="24"/>
          <w:szCs w:val="24"/>
        </w:rPr>
        <w:t>S</w:t>
      </w:r>
      <w:r w:rsidR="00355FD6">
        <w:rPr>
          <w:rFonts w:cstheme="minorHAnsi"/>
          <w:sz w:val="24"/>
          <w:szCs w:val="24"/>
        </w:rPr>
        <w:t>.</w:t>
      </w:r>
      <w:r w:rsidR="00705E5C" w:rsidRPr="005A0106">
        <w:rPr>
          <w:rFonts w:cstheme="minorHAnsi"/>
          <w:sz w:val="24"/>
          <w:szCs w:val="24"/>
        </w:rPr>
        <w:t xml:space="preserve"> free trade agreement partner or </w:t>
      </w:r>
      <w:r w:rsidR="003C0A4C">
        <w:rPr>
          <w:rFonts w:cstheme="minorHAnsi"/>
          <w:sz w:val="24"/>
          <w:szCs w:val="24"/>
        </w:rPr>
        <w:t xml:space="preserve">(2) </w:t>
      </w:r>
      <w:r w:rsidR="00705E5C" w:rsidRPr="005A0106">
        <w:rPr>
          <w:rFonts w:cstheme="minorHAnsi"/>
          <w:sz w:val="24"/>
          <w:szCs w:val="24"/>
        </w:rPr>
        <w:t>recycled in North America</w:t>
      </w:r>
      <w:r w:rsidR="003C0A4C">
        <w:rPr>
          <w:rFonts w:cstheme="minorHAnsi"/>
          <w:sz w:val="24"/>
          <w:szCs w:val="24"/>
        </w:rPr>
        <w:t>.</w:t>
      </w:r>
      <w:r w:rsidR="005A0106">
        <w:rPr>
          <w:rFonts w:cstheme="minorHAnsi"/>
          <w:sz w:val="24"/>
          <w:szCs w:val="24"/>
        </w:rPr>
        <w:t xml:space="preserve"> </w:t>
      </w:r>
      <w:r w:rsidRPr="004F7B21">
        <w:rPr>
          <w:rFonts w:cstheme="minorHAnsi"/>
          <w:sz w:val="24"/>
          <w:szCs w:val="24"/>
        </w:rPr>
        <w:t xml:space="preserve">The </w:t>
      </w:r>
      <w:r w:rsidR="003C0A4C">
        <w:rPr>
          <w:rFonts w:cstheme="minorHAnsi"/>
          <w:sz w:val="24"/>
          <w:szCs w:val="24"/>
        </w:rPr>
        <w:t>amount of th</w:t>
      </w:r>
      <w:r w:rsidR="005D41D7">
        <w:rPr>
          <w:rFonts w:cstheme="minorHAnsi"/>
          <w:sz w:val="24"/>
          <w:szCs w:val="24"/>
        </w:rPr>
        <w:t xml:space="preserve">is </w:t>
      </w:r>
      <w:r w:rsidR="003C0A4C">
        <w:rPr>
          <w:rFonts w:cstheme="minorHAnsi"/>
          <w:sz w:val="24"/>
          <w:szCs w:val="24"/>
        </w:rPr>
        <w:t xml:space="preserve">minimum percentage increases over time, starting </w:t>
      </w:r>
      <w:r w:rsidR="002A1A22" w:rsidRPr="004F7B21">
        <w:rPr>
          <w:rFonts w:cstheme="minorHAnsi"/>
          <w:sz w:val="24"/>
          <w:szCs w:val="24"/>
        </w:rPr>
        <w:t xml:space="preserve">at 40% </w:t>
      </w:r>
      <w:r w:rsidR="003C0A4C">
        <w:rPr>
          <w:rFonts w:cstheme="minorHAnsi"/>
          <w:sz w:val="24"/>
          <w:szCs w:val="24"/>
        </w:rPr>
        <w:t xml:space="preserve">in 2023 </w:t>
      </w:r>
      <w:r w:rsidR="002A1A22" w:rsidRPr="004F7B21">
        <w:rPr>
          <w:rFonts w:cstheme="minorHAnsi"/>
          <w:sz w:val="24"/>
          <w:szCs w:val="24"/>
        </w:rPr>
        <w:t>and increas</w:t>
      </w:r>
      <w:r w:rsidR="003C0A4C">
        <w:rPr>
          <w:rFonts w:cstheme="minorHAnsi"/>
          <w:sz w:val="24"/>
          <w:szCs w:val="24"/>
        </w:rPr>
        <w:t xml:space="preserve">ing </w:t>
      </w:r>
      <w:r w:rsidR="002A1A22" w:rsidRPr="004F7B21">
        <w:rPr>
          <w:rFonts w:cstheme="minorHAnsi"/>
          <w:sz w:val="24"/>
          <w:szCs w:val="24"/>
        </w:rPr>
        <w:t>to 80% by 2027.</w:t>
      </w:r>
      <w:r w:rsidR="00C50DBE" w:rsidRPr="004F7B21">
        <w:rPr>
          <w:rFonts w:cstheme="minorHAnsi"/>
          <w:sz w:val="24"/>
          <w:szCs w:val="24"/>
        </w:rPr>
        <w:t xml:space="preserve"> </w:t>
      </w:r>
    </w:p>
    <w:p w14:paraId="119853F0" w14:textId="5472F9C6" w:rsidR="002A1A22" w:rsidRPr="004F7B21" w:rsidRDefault="002A1A22" w:rsidP="00F42171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 xml:space="preserve">The </w:t>
      </w:r>
      <w:r w:rsidRPr="004609A5">
        <w:rPr>
          <w:rFonts w:cstheme="minorHAnsi"/>
          <w:sz w:val="24"/>
          <w:szCs w:val="24"/>
          <w:u w:val="single"/>
        </w:rPr>
        <w:t>battery component</w:t>
      </w:r>
      <w:r w:rsidR="00453D07" w:rsidRPr="004609A5">
        <w:rPr>
          <w:rFonts w:cstheme="minorHAnsi"/>
          <w:sz w:val="24"/>
          <w:szCs w:val="24"/>
          <w:u w:val="single"/>
        </w:rPr>
        <w:t>s</w:t>
      </w:r>
      <w:r w:rsidRPr="004609A5">
        <w:rPr>
          <w:rFonts w:cstheme="minorHAnsi"/>
          <w:sz w:val="24"/>
          <w:szCs w:val="24"/>
          <w:u w:val="single"/>
        </w:rPr>
        <w:t xml:space="preserve"> requirement</w:t>
      </w:r>
      <w:r w:rsidR="00705E5C" w:rsidRPr="006E6BDE">
        <w:rPr>
          <w:rFonts w:cstheme="minorHAnsi"/>
          <w:sz w:val="24"/>
          <w:szCs w:val="24"/>
        </w:rPr>
        <w:t xml:space="preserve"> </w:t>
      </w:r>
      <w:r w:rsidR="005D41D7">
        <w:rPr>
          <w:rFonts w:cstheme="minorHAnsi"/>
          <w:sz w:val="24"/>
          <w:szCs w:val="24"/>
        </w:rPr>
        <w:t xml:space="preserve">requires that a certain minimum percentage of </w:t>
      </w:r>
      <w:r w:rsidR="00705E5C" w:rsidRPr="004609A5">
        <w:rPr>
          <w:rFonts w:cstheme="minorHAnsi"/>
          <w:sz w:val="24"/>
          <w:szCs w:val="24"/>
        </w:rPr>
        <w:t xml:space="preserve">the </w:t>
      </w:r>
      <w:r w:rsidR="005D41D7">
        <w:rPr>
          <w:rFonts w:cstheme="minorHAnsi"/>
          <w:sz w:val="24"/>
          <w:szCs w:val="24"/>
        </w:rPr>
        <w:t xml:space="preserve">value of the components contained in the vehicle’s </w:t>
      </w:r>
      <w:r w:rsidR="00705E5C" w:rsidRPr="004609A5">
        <w:rPr>
          <w:rFonts w:cstheme="minorHAnsi"/>
          <w:sz w:val="24"/>
          <w:szCs w:val="24"/>
        </w:rPr>
        <w:t xml:space="preserve">battery </w:t>
      </w:r>
      <w:r w:rsidR="005D41D7">
        <w:rPr>
          <w:rFonts w:cstheme="minorHAnsi"/>
          <w:sz w:val="24"/>
          <w:szCs w:val="24"/>
        </w:rPr>
        <w:t xml:space="preserve">be </w:t>
      </w:r>
      <w:r w:rsidR="00705E5C" w:rsidRPr="004609A5">
        <w:rPr>
          <w:rFonts w:cstheme="minorHAnsi"/>
          <w:sz w:val="24"/>
          <w:szCs w:val="24"/>
        </w:rPr>
        <w:t>manufactured or assembled in North America</w:t>
      </w:r>
      <w:r w:rsidRPr="004F7B21">
        <w:rPr>
          <w:rFonts w:cstheme="minorHAnsi"/>
          <w:sz w:val="24"/>
          <w:szCs w:val="24"/>
        </w:rPr>
        <w:t>.</w:t>
      </w:r>
      <w:r w:rsidR="00F91CC4">
        <w:rPr>
          <w:rFonts w:cstheme="minorHAnsi"/>
          <w:sz w:val="24"/>
          <w:szCs w:val="24"/>
        </w:rPr>
        <w:t xml:space="preserve"> </w:t>
      </w:r>
      <w:r w:rsidR="005D41D7">
        <w:rPr>
          <w:rFonts w:cstheme="minorHAnsi"/>
          <w:sz w:val="24"/>
          <w:szCs w:val="24"/>
        </w:rPr>
        <w:t xml:space="preserve">As with the critical </w:t>
      </w:r>
      <w:proofErr w:type="gramStart"/>
      <w:r w:rsidR="005D41D7">
        <w:rPr>
          <w:rFonts w:cstheme="minorHAnsi"/>
          <w:sz w:val="24"/>
          <w:szCs w:val="24"/>
        </w:rPr>
        <w:t>minerals</w:t>
      </w:r>
      <w:proofErr w:type="gramEnd"/>
      <w:r w:rsidR="005D41D7">
        <w:rPr>
          <w:rFonts w:cstheme="minorHAnsi"/>
          <w:sz w:val="24"/>
          <w:szCs w:val="24"/>
        </w:rPr>
        <w:t xml:space="preserve"> requirement, t</w:t>
      </w:r>
      <w:r w:rsidRPr="004F7B21">
        <w:rPr>
          <w:rFonts w:cstheme="minorHAnsi"/>
          <w:sz w:val="24"/>
          <w:szCs w:val="24"/>
        </w:rPr>
        <w:t>he</w:t>
      </w:r>
      <w:r w:rsidR="00E2219D">
        <w:rPr>
          <w:rFonts w:cstheme="minorHAnsi"/>
          <w:sz w:val="24"/>
          <w:szCs w:val="24"/>
        </w:rPr>
        <w:t xml:space="preserve"> </w:t>
      </w:r>
      <w:r w:rsidR="005D41D7">
        <w:rPr>
          <w:rFonts w:cstheme="minorHAnsi"/>
          <w:sz w:val="24"/>
          <w:szCs w:val="24"/>
        </w:rPr>
        <w:t xml:space="preserve">amount of the </w:t>
      </w:r>
      <w:r w:rsidR="00E2219D">
        <w:rPr>
          <w:rFonts w:cstheme="minorHAnsi"/>
          <w:sz w:val="24"/>
          <w:szCs w:val="24"/>
        </w:rPr>
        <w:t>minimum</w:t>
      </w:r>
      <w:r w:rsidRPr="004F7B21">
        <w:rPr>
          <w:rFonts w:cstheme="minorHAnsi"/>
          <w:sz w:val="24"/>
          <w:szCs w:val="24"/>
        </w:rPr>
        <w:t xml:space="preserve"> </w:t>
      </w:r>
      <w:r w:rsidR="005D41D7">
        <w:rPr>
          <w:rFonts w:cstheme="minorHAnsi"/>
          <w:sz w:val="24"/>
          <w:szCs w:val="24"/>
        </w:rPr>
        <w:t xml:space="preserve">percentage under the battery components </w:t>
      </w:r>
      <w:r w:rsidRPr="004F7B21">
        <w:rPr>
          <w:rFonts w:cstheme="minorHAnsi"/>
          <w:sz w:val="24"/>
          <w:szCs w:val="24"/>
        </w:rPr>
        <w:t xml:space="preserve">requirement </w:t>
      </w:r>
      <w:r w:rsidR="005D41D7">
        <w:rPr>
          <w:rFonts w:cstheme="minorHAnsi"/>
          <w:sz w:val="24"/>
          <w:szCs w:val="24"/>
        </w:rPr>
        <w:t xml:space="preserve">increases over time, </w:t>
      </w:r>
      <w:r w:rsidRPr="004F7B21">
        <w:rPr>
          <w:rFonts w:cstheme="minorHAnsi"/>
          <w:sz w:val="24"/>
          <w:szCs w:val="24"/>
        </w:rPr>
        <w:t>start</w:t>
      </w:r>
      <w:r w:rsidR="005D41D7">
        <w:rPr>
          <w:rFonts w:cstheme="minorHAnsi"/>
          <w:sz w:val="24"/>
          <w:szCs w:val="24"/>
        </w:rPr>
        <w:t xml:space="preserve">ing </w:t>
      </w:r>
      <w:r w:rsidRPr="004F7B21">
        <w:rPr>
          <w:rFonts w:cstheme="minorHAnsi"/>
          <w:sz w:val="24"/>
          <w:szCs w:val="24"/>
        </w:rPr>
        <w:t xml:space="preserve">at 50% </w:t>
      </w:r>
      <w:r w:rsidR="001B68F7">
        <w:rPr>
          <w:rFonts w:cstheme="minorHAnsi"/>
          <w:sz w:val="24"/>
          <w:szCs w:val="24"/>
        </w:rPr>
        <w:t xml:space="preserve">in 2023 </w:t>
      </w:r>
      <w:r w:rsidRPr="004F7B21">
        <w:rPr>
          <w:rFonts w:cstheme="minorHAnsi"/>
          <w:sz w:val="24"/>
          <w:szCs w:val="24"/>
        </w:rPr>
        <w:t>and increas</w:t>
      </w:r>
      <w:r w:rsidR="005D41D7">
        <w:rPr>
          <w:rFonts w:cstheme="minorHAnsi"/>
          <w:sz w:val="24"/>
          <w:szCs w:val="24"/>
        </w:rPr>
        <w:t xml:space="preserve">ing </w:t>
      </w:r>
      <w:r w:rsidRPr="004F7B21">
        <w:rPr>
          <w:rFonts w:cstheme="minorHAnsi"/>
          <w:sz w:val="24"/>
          <w:szCs w:val="24"/>
        </w:rPr>
        <w:t>to 100% in 2029.</w:t>
      </w:r>
    </w:p>
    <w:p w14:paraId="406F0666" w14:textId="36D1D20A" w:rsidR="00145F20" w:rsidRDefault="005D41D7" w:rsidP="00F421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critical minerals and battery component requirements both only apply </w:t>
      </w:r>
      <w:r w:rsidR="003C0A4C" w:rsidRPr="004F7B21">
        <w:rPr>
          <w:rFonts w:cstheme="minorHAnsi"/>
          <w:sz w:val="24"/>
          <w:szCs w:val="24"/>
        </w:rPr>
        <w:t xml:space="preserve">after the IRS issues </w:t>
      </w:r>
      <w:r>
        <w:rPr>
          <w:rFonts w:cstheme="minorHAnsi"/>
          <w:sz w:val="24"/>
          <w:szCs w:val="24"/>
        </w:rPr>
        <w:t xml:space="preserve">proposed </w:t>
      </w:r>
      <w:r w:rsidR="003C0A4C" w:rsidRPr="004F7B21">
        <w:rPr>
          <w:rFonts w:cstheme="minorHAnsi"/>
          <w:sz w:val="24"/>
          <w:szCs w:val="24"/>
        </w:rPr>
        <w:t xml:space="preserve">guidance </w:t>
      </w:r>
      <w:r>
        <w:rPr>
          <w:rFonts w:cstheme="minorHAnsi"/>
          <w:sz w:val="24"/>
          <w:szCs w:val="24"/>
        </w:rPr>
        <w:t>on them.</w:t>
      </w:r>
      <w:r w:rsidR="00F91C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IRS is required to issue such proposed guidance by </w:t>
      </w:r>
      <w:r w:rsidR="003C0A4C" w:rsidRPr="004F7B21">
        <w:rPr>
          <w:rFonts w:cstheme="minorHAnsi"/>
          <w:sz w:val="24"/>
          <w:szCs w:val="24"/>
        </w:rPr>
        <w:t>12/31/22</w:t>
      </w:r>
      <w:r>
        <w:rPr>
          <w:rFonts w:cstheme="minorHAnsi"/>
          <w:sz w:val="24"/>
          <w:szCs w:val="24"/>
        </w:rPr>
        <w:t xml:space="preserve">, but the requirements do not start </w:t>
      </w:r>
      <w:r w:rsidR="00145F20">
        <w:rPr>
          <w:rFonts w:cstheme="minorHAnsi"/>
          <w:sz w:val="24"/>
          <w:szCs w:val="24"/>
        </w:rPr>
        <w:t xml:space="preserve">until the guidance is </w:t>
      </w:r>
      <w:proofErr w:type="gramStart"/>
      <w:r w:rsidR="00145F20">
        <w:rPr>
          <w:rFonts w:cstheme="minorHAnsi"/>
          <w:sz w:val="24"/>
          <w:szCs w:val="24"/>
        </w:rPr>
        <w:t>actually issued</w:t>
      </w:r>
      <w:proofErr w:type="gramEnd"/>
      <w:r w:rsidR="00145F20">
        <w:rPr>
          <w:rFonts w:cstheme="minorHAnsi"/>
          <w:sz w:val="24"/>
          <w:szCs w:val="24"/>
        </w:rPr>
        <w:t>, possibly even if it is late.</w:t>
      </w:r>
    </w:p>
    <w:p w14:paraId="2F0B300E" w14:textId="13C09467" w:rsidR="00145F20" w:rsidRDefault="00693672" w:rsidP="00F42171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 xml:space="preserve">These requirements are significant as few vehicles that currently qualify for </w:t>
      </w:r>
      <w:r w:rsidR="00355FD6">
        <w:rPr>
          <w:rFonts w:cstheme="minorHAnsi"/>
          <w:sz w:val="24"/>
          <w:szCs w:val="24"/>
        </w:rPr>
        <w:t>the</w:t>
      </w:r>
      <w:r w:rsidRPr="004F7B21">
        <w:rPr>
          <w:rFonts w:cstheme="minorHAnsi"/>
          <w:sz w:val="24"/>
          <w:szCs w:val="24"/>
        </w:rPr>
        <w:t xml:space="preserve"> credit w</w:t>
      </w:r>
      <w:r w:rsidR="00145F20">
        <w:rPr>
          <w:rFonts w:cstheme="minorHAnsi"/>
          <w:sz w:val="24"/>
          <w:szCs w:val="24"/>
        </w:rPr>
        <w:t xml:space="preserve">ould </w:t>
      </w:r>
      <w:r w:rsidRPr="004F7B21">
        <w:rPr>
          <w:rFonts w:cstheme="minorHAnsi"/>
          <w:sz w:val="24"/>
          <w:szCs w:val="24"/>
        </w:rPr>
        <w:t>qualify after these requirements are effective</w:t>
      </w:r>
      <w:r w:rsidR="00145F20">
        <w:rPr>
          <w:rFonts w:cstheme="minorHAnsi"/>
          <w:sz w:val="24"/>
          <w:szCs w:val="24"/>
        </w:rPr>
        <w:t xml:space="preserve"> unless drastic manufacturing and supply chain changes were implemented by their OEMs</w:t>
      </w:r>
      <w:r w:rsidRPr="004F7B21">
        <w:rPr>
          <w:rFonts w:cstheme="minorHAnsi"/>
          <w:sz w:val="24"/>
          <w:szCs w:val="24"/>
        </w:rPr>
        <w:t xml:space="preserve">. </w:t>
      </w:r>
    </w:p>
    <w:p w14:paraId="10EF11B7" w14:textId="55366C06" w:rsidR="00190AFE" w:rsidRPr="004439DF" w:rsidRDefault="00145F20" w:rsidP="00F42171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In addition to the foregoing, there are two </w:t>
      </w:r>
      <w:r w:rsidR="00D93A05">
        <w:rPr>
          <w:rFonts w:cstheme="minorHAnsi"/>
          <w:sz w:val="24"/>
          <w:szCs w:val="24"/>
        </w:rPr>
        <w:t>eligibility limitations related to vehicles containing parts sourced from a “foreign entity of concern.”</w:t>
      </w:r>
      <w:r w:rsidR="00F91CC4">
        <w:rPr>
          <w:rFonts w:cstheme="minorHAnsi"/>
          <w:sz w:val="24"/>
          <w:szCs w:val="24"/>
        </w:rPr>
        <w:t xml:space="preserve"> </w:t>
      </w:r>
      <w:r w:rsidR="00D93A05">
        <w:rPr>
          <w:rFonts w:cstheme="minorHAnsi"/>
          <w:sz w:val="24"/>
          <w:szCs w:val="24"/>
        </w:rPr>
        <w:t>(</w:t>
      </w:r>
      <w:r w:rsidR="00D93A05" w:rsidRPr="004439DF">
        <w:rPr>
          <w:rFonts w:cstheme="minorHAnsi"/>
          <w:sz w:val="24"/>
          <w:szCs w:val="24"/>
        </w:rPr>
        <w:t xml:space="preserve">A “foreign </w:t>
      </w:r>
      <w:r w:rsidR="00D93A05" w:rsidRPr="004F7B21">
        <w:rPr>
          <w:rFonts w:cstheme="minorHAnsi"/>
          <w:sz w:val="24"/>
          <w:szCs w:val="24"/>
        </w:rPr>
        <w:t>e</w:t>
      </w:r>
      <w:r w:rsidR="00D93A05" w:rsidRPr="004439DF">
        <w:rPr>
          <w:rFonts w:cstheme="minorHAnsi"/>
          <w:sz w:val="24"/>
          <w:szCs w:val="24"/>
        </w:rPr>
        <w:t xml:space="preserve">ntity of </w:t>
      </w:r>
      <w:r w:rsidR="00D93A05" w:rsidRPr="004F7B21">
        <w:rPr>
          <w:rFonts w:cstheme="minorHAnsi"/>
          <w:sz w:val="24"/>
          <w:szCs w:val="24"/>
        </w:rPr>
        <w:t>c</w:t>
      </w:r>
      <w:r w:rsidR="00D93A05" w:rsidRPr="004439DF">
        <w:rPr>
          <w:rFonts w:cstheme="minorHAnsi"/>
          <w:sz w:val="24"/>
          <w:szCs w:val="24"/>
        </w:rPr>
        <w:t xml:space="preserve">oncern” is the term designed to cover </w:t>
      </w:r>
      <w:r w:rsidR="007F797F">
        <w:rPr>
          <w:rFonts w:cstheme="minorHAnsi"/>
          <w:sz w:val="24"/>
          <w:szCs w:val="24"/>
        </w:rPr>
        <w:t xml:space="preserve">businesses from </w:t>
      </w:r>
      <w:r w:rsidR="00D93A05" w:rsidRPr="004439DF">
        <w:rPr>
          <w:rFonts w:cstheme="minorHAnsi"/>
          <w:sz w:val="24"/>
          <w:szCs w:val="24"/>
        </w:rPr>
        <w:t>countries such as China and Russia.</w:t>
      </w:r>
      <w:r w:rsidR="00D93A05">
        <w:rPr>
          <w:rFonts w:cstheme="minorHAnsi"/>
          <w:sz w:val="24"/>
          <w:szCs w:val="24"/>
        </w:rPr>
        <w:t>)</w:t>
      </w:r>
      <w:r w:rsidR="00F91CC4">
        <w:rPr>
          <w:rFonts w:cstheme="minorHAnsi"/>
          <w:sz w:val="24"/>
          <w:szCs w:val="24"/>
        </w:rPr>
        <w:t xml:space="preserve"> </w:t>
      </w:r>
      <w:r w:rsidR="00D93A05">
        <w:rPr>
          <w:rFonts w:cstheme="minorHAnsi"/>
          <w:sz w:val="24"/>
          <w:szCs w:val="24"/>
        </w:rPr>
        <w:t xml:space="preserve">Specifically, beginning on 1/1/24, </w:t>
      </w:r>
      <w:r w:rsidR="00E00806">
        <w:rPr>
          <w:rFonts w:cstheme="minorHAnsi"/>
          <w:sz w:val="24"/>
          <w:szCs w:val="24"/>
        </w:rPr>
        <w:t>v</w:t>
      </w:r>
      <w:r w:rsidR="00190AFE" w:rsidRPr="004439DF">
        <w:rPr>
          <w:rFonts w:cstheme="minorHAnsi"/>
          <w:sz w:val="24"/>
          <w:szCs w:val="24"/>
        </w:rPr>
        <w:t xml:space="preserve">ehicles are not eligible for </w:t>
      </w:r>
      <w:r w:rsidR="001A0D68">
        <w:rPr>
          <w:rFonts w:cstheme="minorHAnsi"/>
          <w:sz w:val="24"/>
          <w:szCs w:val="24"/>
        </w:rPr>
        <w:t xml:space="preserve">the tax </w:t>
      </w:r>
      <w:r w:rsidR="00190AFE" w:rsidRPr="004439DF">
        <w:rPr>
          <w:rFonts w:cstheme="minorHAnsi"/>
          <w:sz w:val="24"/>
          <w:szCs w:val="24"/>
        </w:rPr>
        <w:t>credit if any battery components are manufactured or assembled by a “foreign entity of concern</w:t>
      </w:r>
      <w:r w:rsidR="00355FD6">
        <w:rPr>
          <w:rFonts w:cstheme="minorHAnsi"/>
          <w:sz w:val="24"/>
          <w:szCs w:val="24"/>
        </w:rPr>
        <w:t>.</w:t>
      </w:r>
      <w:r w:rsidR="00190AFE" w:rsidRPr="004439DF">
        <w:rPr>
          <w:rFonts w:cstheme="minorHAnsi"/>
          <w:sz w:val="24"/>
          <w:szCs w:val="24"/>
        </w:rPr>
        <w:t xml:space="preserve">” </w:t>
      </w:r>
      <w:r w:rsidR="00D93A05">
        <w:rPr>
          <w:rFonts w:cstheme="minorHAnsi"/>
          <w:sz w:val="24"/>
          <w:szCs w:val="24"/>
        </w:rPr>
        <w:t>And beginning o</w:t>
      </w:r>
      <w:r w:rsidR="004609A5" w:rsidRPr="004439DF">
        <w:rPr>
          <w:rFonts w:cstheme="minorHAnsi"/>
          <w:sz w:val="24"/>
          <w:szCs w:val="24"/>
        </w:rPr>
        <w:t>n</w:t>
      </w:r>
      <w:r w:rsidR="00190AFE" w:rsidRPr="004439DF">
        <w:rPr>
          <w:rFonts w:cstheme="minorHAnsi"/>
          <w:sz w:val="24"/>
          <w:szCs w:val="24"/>
        </w:rPr>
        <w:t xml:space="preserve"> 1/1/25</w:t>
      </w:r>
      <w:r w:rsidR="004609A5" w:rsidRPr="004439DF">
        <w:rPr>
          <w:rFonts w:cstheme="minorHAnsi"/>
          <w:sz w:val="24"/>
          <w:szCs w:val="24"/>
        </w:rPr>
        <w:t>,</w:t>
      </w:r>
      <w:r w:rsidR="00190AFE" w:rsidRPr="004439DF">
        <w:rPr>
          <w:rFonts w:cstheme="minorHAnsi"/>
          <w:sz w:val="24"/>
          <w:szCs w:val="24"/>
        </w:rPr>
        <w:t xml:space="preserve"> if any critical minerals contained in the battery were </w:t>
      </w:r>
      <w:r w:rsidR="00190AFE" w:rsidRPr="004439DF">
        <w:rPr>
          <w:rFonts w:cstheme="minorHAnsi"/>
          <w:sz w:val="24"/>
          <w:szCs w:val="24"/>
        </w:rPr>
        <w:lastRenderedPageBreak/>
        <w:t xml:space="preserve">extracted, </w:t>
      </w:r>
      <w:proofErr w:type="gramStart"/>
      <w:r w:rsidR="00190AFE" w:rsidRPr="004439DF">
        <w:rPr>
          <w:rFonts w:cstheme="minorHAnsi"/>
          <w:sz w:val="24"/>
          <w:szCs w:val="24"/>
        </w:rPr>
        <w:t>processed</w:t>
      </w:r>
      <w:proofErr w:type="gramEnd"/>
      <w:r w:rsidR="00190AFE" w:rsidRPr="004439DF">
        <w:rPr>
          <w:rFonts w:cstheme="minorHAnsi"/>
          <w:sz w:val="24"/>
          <w:szCs w:val="24"/>
        </w:rPr>
        <w:t xml:space="preserve"> or recycled </w:t>
      </w:r>
      <w:r w:rsidR="00D93A05">
        <w:rPr>
          <w:rFonts w:cstheme="minorHAnsi"/>
          <w:sz w:val="24"/>
          <w:szCs w:val="24"/>
        </w:rPr>
        <w:t xml:space="preserve">by </w:t>
      </w:r>
      <w:r w:rsidR="00190AFE" w:rsidRPr="004439DF">
        <w:rPr>
          <w:rFonts w:cstheme="minorHAnsi"/>
          <w:sz w:val="24"/>
          <w:szCs w:val="24"/>
        </w:rPr>
        <w:t>a “foreign entity of concern</w:t>
      </w:r>
      <w:r w:rsidR="00D93A05">
        <w:rPr>
          <w:rFonts w:cstheme="minorHAnsi"/>
          <w:sz w:val="24"/>
          <w:szCs w:val="24"/>
        </w:rPr>
        <w:t>,</w:t>
      </w:r>
      <w:r w:rsidR="00190AFE" w:rsidRPr="004439DF">
        <w:rPr>
          <w:rFonts w:cstheme="minorHAnsi"/>
          <w:sz w:val="24"/>
          <w:szCs w:val="24"/>
        </w:rPr>
        <w:t>”</w:t>
      </w:r>
      <w:r w:rsidR="004609A5" w:rsidRPr="004439DF">
        <w:rPr>
          <w:rFonts w:cstheme="minorHAnsi"/>
          <w:sz w:val="24"/>
          <w:szCs w:val="24"/>
        </w:rPr>
        <w:t xml:space="preserve"> the vehicle would not be eligible for the credit. </w:t>
      </w:r>
    </w:p>
    <w:p w14:paraId="49BF8181" w14:textId="462E7883" w:rsidR="002A1A22" w:rsidRPr="004439DF" w:rsidRDefault="00FE7D6F" w:rsidP="00F42171">
      <w:pPr>
        <w:rPr>
          <w:rFonts w:cstheme="minorHAnsi"/>
          <w:b/>
          <w:bCs/>
          <w:sz w:val="24"/>
          <w:szCs w:val="24"/>
          <w:u w:val="single"/>
        </w:rPr>
      </w:pPr>
      <w:r w:rsidRPr="004439DF">
        <w:rPr>
          <w:rFonts w:cstheme="minorHAnsi"/>
          <w:b/>
          <w:bCs/>
          <w:sz w:val="24"/>
          <w:szCs w:val="24"/>
          <w:u w:val="single"/>
        </w:rPr>
        <w:t>Transfer of the Credit to the Dealer</w:t>
      </w:r>
    </w:p>
    <w:p w14:paraId="7ACF4261" w14:textId="10474B87" w:rsidR="008A5DEA" w:rsidRDefault="00FE7D6F" w:rsidP="00F42171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For dealer</w:t>
      </w:r>
      <w:r w:rsidR="00D93A05">
        <w:rPr>
          <w:rFonts w:cstheme="minorHAnsi"/>
          <w:sz w:val="24"/>
          <w:szCs w:val="24"/>
        </w:rPr>
        <w:t>s</w:t>
      </w:r>
      <w:r w:rsidRPr="004F7B21">
        <w:rPr>
          <w:rFonts w:cstheme="minorHAnsi"/>
          <w:sz w:val="24"/>
          <w:szCs w:val="24"/>
        </w:rPr>
        <w:t>,</w:t>
      </w:r>
      <w:r w:rsidR="006B6D1F" w:rsidRPr="004F7B21">
        <w:rPr>
          <w:rFonts w:cstheme="minorHAnsi"/>
          <w:sz w:val="24"/>
          <w:szCs w:val="24"/>
        </w:rPr>
        <w:t xml:space="preserve"> a </w:t>
      </w:r>
      <w:r w:rsidR="00E04228" w:rsidRPr="004F7B21">
        <w:rPr>
          <w:rFonts w:cstheme="minorHAnsi"/>
          <w:sz w:val="24"/>
          <w:szCs w:val="24"/>
        </w:rPr>
        <w:t>significant</w:t>
      </w:r>
      <w:r w:rsidRPr="004F7B21">
        <w:rPr>
          <w:rFonts w:cstheme="minorHAnsi"/>
          <w:sz w:val="24"/>
          <w:szCs w:val="24"/>
        </w:rPr>
        <w:t xml:space="preserve"> change </w:t>
      </w:r>
      <w:r w:rsidR="007F797F">
        <w:rPr>
          <w:rFonts w:cstheme="minorHAnsi"/>
          <w:sz w:val="24"/>
          <w:szCs w:val="24"/>
        </w:rPr>
        <w:t xml:space="preserve">brought about by </w:t>
      </w:r>
      <w:r w:rsidRPr="004F7B21">
        <w:rPr>
          <w:rFonts w:cstheme="minorHAnsi"/>
          <w:sz w:val="24"/>
          <w:szCs w:val="24"/>
        </w:rPr>
        <w:t>th</w:t>
      </w:r>
      <w:r w:rsidR="00D93A05">
        <w:rPr>
          <w:rFonts w:cstheme="minorHAnsi"/>
          <w:sz w:val="24"/>
          <w:szCs w:val="24"/>
        </w:rPr>
        <w:t>e IRA</w:t>
      </w:r>
      <w:r w:rsidRPr="004F7B21">
        <w:rPr>
          <w:rFonts w:cstheme="minorHAnsi"/>
          <w:sz w:val="24"/>
          <w:szCs w:val="24"/>
        </w:rPr>
        <w:t xml:space="preserve"> is a new program </w:t>
      </w:r>
      <w:r w:rsidR="00E00806">
        <w:rPr>
          <w:rFonts w:cstheme="minorHAnsi"/>
          <w:sz w:val="24"/>
          <w:szCs w:val="24"/>
        </w:rPr>
        <w:t xml:space="preserve">beginning </w:t>
      </w:r>
      <w:r w:rsidR="00942239">
        <w:rPr>
          <w:rFonts w:cstheme="minorHAnsi"/>
          <w:sz w:val="24"/>
          <w:szCs w:val="24"/>
        </w:rPr>
        <w:t>1/1/24</w:t>
      </w:r>
      <w:r w:rsidR="00E00806">
        <w:rPr>
          <w:rFonts w:cstheme="minorHAnsi"/>
          <w:sz w:val="24"/>
          <w:szCs w:val="24"/>
        </w:rPr>
        <w:t xml:space="preserve"> </w:t>
      </w:r>
      <w:r w:rsidRPr="004F7B21">
        <w:rPr>
          <w:rFonts w:cstheme="minorHAnsi"/>
          <w:sz w:val="24"/>
          <w:szCs w:val="24"/>
        </w:rPr>
        <w:t>which allows the purchaser to transfer the credit to the dealer at the time of the sale.</w:t>
      </w:r>
      <w:r w:rsidR="009B4B39">
        <w:rPr>
          <w:rFonts w:cstheme="minorHAnsi"/>
          <w:sz w:val="24"/>
          <w:szCs w:val="24"/>
        </w:rPr>
        <w:t xml:space="preserve"> NADA was instrumental in </w:t>
      </w:r>
      <w:r w:rsidR="007F797F">
        <w:rPr>
          <w:rFonts w:cstheme="minorHAnsi"/>
          <w:sz w:val="24"/>
          <w:szCs w:val="24"/>
        </w:rPr>
        <w:t xml:space="preserve">both </w:t>
      </w:r>
      <w:r w:rsidR="009B4B39">
        <w:rPr>
          <w:rFonts w:cstheme="minorHAnsi"/>
          <w:sz w:val="24"/>
          <w:szCs w:val="24"/>
        </w:rPr>
        <w:t xml:space="preserve">advocating for the inclusion of this provision to allow the tax credit to be transferable to the dealer and eliminating problematic language </w:t>
      </w:r>
      <w:r w:rsidR="00D93A05">
        <w:rPr>
          <w:rFonts w:cstheme="minorHAnsi"/>
          <w:sz w:val="24"/>
          <w:szCs w:val="24"/>
        </w:rPr>
        <w:t xml:space="preserve">found in the BBB bill, </w:t>
      </w:r>
      <w:r w:rsidR="009B4B39">
        <w:rPr>
          <w:rFonts w:cstheme="minorHAnsi"/>
          <w:sz w:val="24"/>
          <w:szCs w:val="24"/>
        </w:rPr>
        <w:t>such as provisions that would have held the dealer liable for consumer post</w:t>
      </w:r>
      <w:r w:rsidR="00D20E65">
        <w:rPr>
          <w:rFonts w:cstheme="minorHAnsi"/>
          <w:sz w:val="24"/>
          <w:szCs w:val="24"/>
        </w:rPr>
        <w:t>-</w:t>
      </w:r>
      <w:r w:rsidR="009B4B39">
        <w:rPr>
          <w:rFonts w:cstheme="minorHAnsi"/>
          <w:sz w:val="24"/>
          <w:szCs w:val="24"/>
        </w:rPr>
        <w:t xml:space="preserve">transaction actions. </w:t>
      </w:r>
    </w:p>
    <w:p w14:paraId="7FD21347" w14:textId="3E48681F" w:rsidR="00FE7D6F" w:rsidRPr="004F7B21" w:rsidRDefault="00D20E65" w:rsidP="00F4217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 the new law:</w:t>
      </w:r>
    </w:p>
    <w:p w14:paraId="737425E5" w14:textId="22930289" w:rsidR="00E1691B" w:rsidRPr="004F7B21" w:rsidRDefault="00D93A05" w:rsidP="00F42171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•</w:t>
      </w:r>
      <w:r w:rsidR="00F91CC4">
        <w:rPr>
          <w:rFonts w:cstheme="minorHAnsi"/>
          <w:sz w:val="24"/>
          <w:szCs w:val="24"/>
        </w:rPr>
        <w:t xml:space="preserve"> </w:t>
      </w:r>
      <w:r w:rsidR="007E449E" w:rsidRPr="004F7B21">
        <w:rPr>
          <w:rFonts w:cstheme="minorHAnsi"/>
          <w:sz w:val="24"/>
          <w:szCs w:val="24"/>
        </w:rPr>
        <w:t xml:space="preserve">To participate, </w:t>
      </w:r>
      <w:r w:rsidR="00E43F83" w:rsidRPr="004F7B21">
        <w:rPr>
          <w:rFonts w:cstheme="minorHAnsi"/>
          <w:sz w:val="24"/>
          <w:szCs w:val="24"/>
        </w:rPr>
        <w:t xml:space="preserve">a </w:t>
      </w:r>
      <w:r w:rsidR="007E449E" w:rsidRPr="004F7B21">
        <w:rPr>
          <w:rFonts w:cstheme="minorHAnsi"/>
          <w:sz w:val="24"/>
          <w:szCs w:val="24"/>
        </w:rPr>
        <w:t>d</w:t>
      </w:r>
      <w:r w:rsidR="00E1691B" w:rsidRPr="004F7B21">
        <w:rPr>
          <w:rFonts w:cstheme="minorHAnsi"/>
          <w:sz w:val="24"/>
          <w:szCs w:val="24"/>
        </w:rPr>
        <w:t>ealer must register with the IRS.</w:t>
      </w:r>
      <w:r w:rsidR="00C50DBE" w:rsidRPr="004F7B21">
        <w:rPr>
          <w:rFonts w:cstheme="minorHAnsi"/>
          <w:sz w:val="24"/>
          <w:szCs w:val="24"/>
        </w:rPr>
        <w:t xml:space="preserve"> </w:t>
      </w:r>
      <w:r w:rsidR="00E1691B" w:rsidRPr="004F7B21">
        <w:rPr>
          <w:rFonts w:cstheme="minorHAnsi"/>
          <w:sz w:val="24"/>
          <w:szCs w:val="24"/>
        </w:rPr>
        <w:t>The IRS will prescribe rules describing the manner in which a dealer can register.</w:t>
      </w:r>
    </w:p>
    <w:p w14:paraId="7884099E" w14:textId="11D6D7CB" w:rsidR="00074C91" w:rsidRDefault="00074C91" w:rsidP="00F42171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•</w:t>
      </w:r>
      <w:r w:rsidR="00F91C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purchaser has the option to transfer the value of the EV credit to the dealer.</w:t>
      </w:r>
    </w:p>
    <w:p w14:paraId="1197F750" w14:textId="657781BB" w:rsidR="00E1691B" w:rsidRPr="004F7B21" w:rsidRDefault="00074C91" w:rsidP="00F42171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•</w:t>
      </w:r>
      <w:r w:rsidR="00F91C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Prior to the purchaser making such an election, </w:t>
      </w:r>
      <w:r w:rsidR="007E449E" w:rsidRPr="004F7B21">
        <w:rPr>
          <w:rFonts w:cstheme="minorHAnsi"/>
          <w:sz w:val="24"/>
          <w:szCs w:val="24"/>
        </w:rPr>
        <w:t>t</w:t>
      </w:r>
      <w:r w:rsidR="00E1691B" w:rsidRPr="004F7B21">
        <w:rPr>
          <w:rFonts w:cstheme="minorHAnsi"/>
          <w:sz w:val="24"/>
          <w:szCs w:val="24"/>
        </w:rPr>
        <w:t xml:space="preserve">he dealer must disclose to the </w:t>
      </w:r>
      <w:r w:rsidR="001B68F7">
        <w:rPr>
          <w:rFonts w:cstheme="minorHAnsi"/>
          <w:sz w:val="24"/>
          <w:szCs w:val="24"/>
        </w:rPr>
        <w:t>purchaser</w:t>
      </w:r>
      <w:r w:rsidR="007E449E" w:rsidRPr="004F7B21">
        <w:rPr>
          <w:rFonts w:cstheme="minorHAnsi"/>
          <w:sz w:val="24"/>
          <w:szCs w:val="24"/>
        </w:rPr>
        <w:t>:</w:t>
      </w:r>
    </w:p>
    <w:p w14:paraId="57CF8071" w14:textId="579CFDEC" w:rsidR="00E1691B" w:rsidRPr="004F7B21" w:rsidRDefault="00074C91" w:rsidP="0069367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subject vehicle’s </w:t>
      </w:r>
      <w:r w:rsidR="00E1691B" w:rsidRPr="004F7B21">
        <w:rPr>
          <w:rFonts w:cstheme="minorHAnsi"/>
          <w:sz w:val="24"/>
          <w:szCs w:val="24"/>
        </w:rPr>
        <w:t>MSRP</w:t>
      </w:r>
      <w:r w:rsidR="007E449E" w:rsidRPr="004F7B21">
        <w:rPr>
          <w:rFonts w:cstheme="minorHAnsi"/>
          <w:sz w:val="24"/>
          <w:szCs w:val="24"/>
        </w:rPr>
        <w:t>;</w:t>
      </w:r>
    </w:p>
    <w:p w14:paraId="1F09EBA3" w14:textId="1A439D67" w:rsidR="00E1691B" w:rsidRPr="004F7B21" w:rsidRDefault="00074C91" w:rsidP="0069367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E1691B" w:rsidRPr="004F7B21">
        <w:rPr>
          <w:rFonts w:cstheme="minorHAnsi"/>
          <w:sz w:val="24"/>
          <w:szCs w:val="24"/>
        </w:rPr>
        <w:t>he value of the credit and “any other incentive available for the purchase of such vehicle”</w:t>
      </w:r>
      <w:r w:rsidR="007E449E" w:rsidRPr="004F7B21">
        <w:rPr>
          <w:rFonts w:cstheme="minorHAnsi"/>
          <w:sz w:val="24"/>
          <w:szCs w:val="24"/>
        </w:rPr>
        <w:t>;</w:t>
      </w:r>
      <w:r w:rsidR="00C50DBE" w:rsidRPr="004F7B21">
        <w:rPr>
          <w:rFonts w:cstheme="minorHAnsi"/>
          <w:sz w:val="24"/>
          <w:szCs w:val="24"/>
        </w:rPr>
        <w:t xml:space="preserve"> and</w:t>
      </w:r>
    </w:p>
    <w:p w14:paraId="43DC06B4" w14:textId="2EFA2BE5" w:rsidR="00E1691B" w:rsidRPr="004F7B21" w:rsidRDefault="00074C91" w:rsidP="0069367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E1691B" w:rsidRPr="004F7B21">
        <w:rPr>
          <w:rFonts w:cstheme="minorHAnsi"/>
          <w:sz w:val="24"/>
          <w:szCs w:val="24"/>
        </w:rPr>
        <w:t>he amount provided by the dealer to the purchaser</w:t>
      </w:r>
      <w:r w:rsidR="00984645">
        <w:rPr>
          <w:rFonts w:cstheme="minorHAnsi"/>
          <w:sz w:val="24"/>
          <w:szCs w:val="24"/>
        </w:rPr>
        <w:t xml:space="preserve"> as a condition of the purchaser’s election to transfer the value of the credit</w:t>
      </w:r>
      <w:r w:rsidR="00E1691B" w:rsidRPr="004F7B21">
        <w:rPr>
          <w:rFonts w:cstheme="minorHAnsi"/>
          <w:sz w:val="24"/>
          <w:szCs w:val="24"/>
        </w:rPr>
        <w:t>.</w:t>
      </w:r>
    </w:p>
    <w:p w14:paraId="04757DD7" w14:textId="21927314" w:rsidR="00E1691B" w:rsidRPr="004F7B21" w:rsidRDefault="00984645" w:rsidP="00F42171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="00E1691B" w:rsidRPr="004F7B21">
        <w:rPr>
          <w:rFonts w:cstheme="minorHAnsi"/>
          <w:sz w:val="24"/>
          <w:szCs w:val="24"/>
        </w:rPr>
        <w:t>At the time of the sale, the dealer must have “made payment” to the purchaser in an amount equal to the credit</w:t>
      </w:r>
      <w:r w:rsidR="00693672" w:rsidRPr="004F7B21">
        <w:rPr>
          <w:rFonts w:cstheme="minorHAnsi"/>
          <w:sz w:val="24"/>
          <w:szCs w:val="24"/>
        </w:rPr>
        <w:t>.</w:t>
      </w:r>
    </w:p>
    <w:p w14:paraId="62A9B31E" w14:textId="56E972EF" w:rsidR="00FE7D6F" w:rsidRPr="004F7B21" w:rsidRDefault="00984645" w:rsidP="00F42171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="00A94E13" w:rsidRPr="004F7B21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dealer must ensure</w:t>
      </w:r>
      <w:r w:rsidR="0002028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with respect to any rebate, discount, or other incentive available for the purchase of the vehicle, </w:t>
      </w:r>
      <w:r w:rsidR="00020285">
        <w:rPr>
          <w:rFonts w:cstheme="minorHAnsi"/>
          <w:sz w:val="24"/>
          <w:szCs w:val="24"/>
        </w:rPr>
        <w:t xml:space="preserve">both that </w:t>
      </w:r>
      <w:r>
        <w:rPr>
          <w:rFonts w:cstheme="minorHAnsi"/>
          <w:sz w:val="24"/>
          <w:szCs w:val="24"/>
        </w:rPr>
        <w:t xml:space="preserve">(1) the availability of such incentive does </w:t>
      </w:r>
      <w:r w:rsidR="00020285">
        <w:rPr>
          <w:rFonts w:cstheme="minorHAnsi"/>
          <w:sz w:val="24"/>
          <w:szCs w:val="24"/>
        </w:rPr>
        <w:t xml:space="preserve">not limit the </w:t>
      </w:r>
      <w:r w:rsidR="001B68F7">
        <w:rPr>
          <w:rFonts w:cstheme="minorHAnsi"/>
          <w:sz w:val="24"/>
          <w:szCs w:val="24"/>
        </w:rPr>
        <w:t>purchaser</w:t>
      </w:r>
      <w:r w:rsidR="00020285">
        <w:rPr>
          <w:rFonts w:cstheme="minorHAnsi"/>
          <w:sz w:val="24"/>
          <w:szCs w:val="24"/>
        </w:rPr>
        <w:t xml:space="preserve">’s ability to </w:t>
      </w:r>
      <w:r w:rsidR="00A94E13" w:rsidRPr="004F7B21">
        <w:rPr>
          <w:rFonts w:cstheme="minorHAnsi"/>
          <w:sz w:val="24"/>
          <w:szCs w:val="24"/>
        </w:rPr>
        <w:t xml:space="preserve">transfer the </w:t>
      </w:r>
      <w:r>
        <w:rPr>
          <w:rFonts w:cstheme="minorHAnsi"/>
          <w:sz w:val="24"/>
          <w:szCs w:val="24"/>
        </w:rPr>
        <w:t xml:space="preserve">value of the </w:t>
      </w:r>
      <w:r w:rsidR="00A94E13" w:rsidRPr="004F7B21">
        <w:rPr>
          <w:rFonts w:cstheme="minorHAnsi"/>
          <w:sz w:val="24"/>
          <w:szCs w:val="24"/>
        </w:rPr>
        <w:t xml:space="preserve">credit </w:t>
      </w:r>
      <w:r w:rsidR="00020285">
        <w:rPr>
          <w:rFonts w:cstheme="minorHAnsi"/>
          <w:sz w:val="24"/>
          <w:szCs w:val="24"/>
        </w:rPr>
        <w:t xml:space="preserve">and (2) the election to transfer does </w:t>
      </w:r>
      <w:r w:rsidR="00A94E13" w:rsidRPr="004F7B21">
        <w:rPr>
          <w:rFonts w:cstheme="minorHAnsi"/>
          <w:sz w:val="24"/>
          <w:szCs w:val="24"/>
        </w:rPr>
        <w:t>“not limit the value or use</w:t>
      </w:r>
      <w:r w:rsidR="00020285">
        <w:rPr>
          <w:rFonts w:cstheme="minorHAnsi"/>
          <w:sz w:val="24"/>
          <w:szCs w:val="24"/>
        </w:rPr>
        <w:t>”</w:t>
      </w:r>
      <w:r w:rsidR="00E43F83" w:rsidRPr="004F7B21">
        <w:rPr>
          <w:rFonts w:cstheme="minorHAnsi"/>
          <w:sz w:val="24"/>
          <w:szCs w:val="24"/>
        </w:rPr>
        <w:t xml:space="preserve"> of </w:t>
      </w:r>
      <w:r w:rsidR="00020285">
        <w:rPr>
          <w:rFonts w:cstheme="minorHAnsi"/>
          <w:sz w:val="24"/>
          <w:szCs w:val="24"/>
        </w:rPr>
        <w:t>such incentive</w:t>
      </w:r>
      <w:r w:rsidR="00A94E13" w:rsidRPr="004F7B21">
        <w:rPr>
          <w:rFonts w:cstheme="minorHAnsi"/>
          <w:sz w:val="24"/>
          <w:szCs w:val="24"/>
        </w:rPr>
        <w:t>.</w:t>
      </w:r>
    </w:p>
    <w:p w14:paraId="6E921F18" w14:textId="42155D05" w:rsidR="002410BE" w:rsidRPr="004F7B21" w:rsidRDefault="00020285" w:rsidP="00F42171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="002410BE" w:rsidRPr="004F7B21">
        <w:rPr>
          <w:rFonts w:cstheme="minorHAnsi"/>
          <w:sz w:val="24"/>
          <w:szCs w:val="24"/>
          <w:u w:val="single"/>
        </w:rPr>
        <w:t xml:space="preserve">The IRS </w:t>
      </w:r>
      <w:r>
        <w:rPr>
          <w:rFonts w:cstheme="minorHAnsi"/>
          <w:sz w:val="24"/>
          <w:szCs w:val="24"/>
          <w:u w:val="single"/>
        </w:rPr>
        <w:t xml:space="preserve">will </w:t>
      </w:r>
      <w:r w:rsidR="002410BE" w:rsidRPr="004F7B21">
        <w:rPr>
          <w:rFonts w:cstheme="minorHAnsi"/>
          <w:sz w:val="24"/>
          <w:szCs w:val="24"/>
          <w:u w:val="single"/>
        </w:rPr>
        <w:t>establish a program to reimburse dealer</w:t>
      </w:r>
      <w:r w:rsidR="004C0437">
        <w:rPr>
          <w:rFonts w:cstheme="minorHAnsi"/>
          <w:sz w:val="24"/>
          <w:szCs w:val="24"/>
          <w:u w:val="single"/>
        </w:rPr>
        <w:t>s</w:t>
      </w:r>
      <w:r w:rsidR="002410BE" w:rsidRPr="004F7B21">
        <w:rPr>
          <w:rFonts w:cstheme="minorHAnsi"/>
          <w:sz w:val="24"/>
          <w:szCs w:val="24"/>
          <w:u w:val="single"/>
        </w:rPr>
        <w:t>.</w:t>
      </w:r>
      <w:r w:rsidR="002410BE" w:rsidRPr="004F7B21">
        <w:rPr>
          <w:rFonts w:cstheme="minorHAnsi"/>
          <w:sz w:val="24"/>
          <w:szCs w:val="24"/>
        </w:rPr>
        <w:t xml:space="preserve"> </w:t>
      </w:r>
      <w:r w:rsidR="00493B1D" w:rsidRPr="004F7B21">
        <w:rPr>
          <w:rFonts w:cstheme="minorHAnsi"/>
          <w:sz w:val="24"/>
          <w:szCs w:val="24"/>
        </w:rPr>
        <w:t xml:space="preserve">Because of the rules governing </w:t>
      </w:r>
      <w:r w:rsidR="00CF75D9">
        <w:rPr>
          <w:rFonts w:cstheme="minorHAnsi"/>
          <w:sz w:val="24"/>
          <w:szCs w:val="24"/>
        </w:rPr>
        <w:t>the</w:t>
      </w:r>
      <w:r w:rsidR="00CF75D9" w:rsidRPr="004F7B21">
        <w:rPr>
          <w:rFonts w:cstheme="minorHAnsi"/>
          <w:sz w:val="24"/>
          <w:szCs w:val="24"/>
        </w:rPr>
        <w:t xml:space="preserve"> </w:t>
      </w:r>
      <w:r w:rsidR="00493B1D" w:rsidRPr="004F7B21">
        <w:rPr>
          <w:rFonts w:cstheme="minorHAnsi"/>
          <w:sz w:val="24"/>
          <w:szCs w:val="24"/>
        </w:rPr>
        <w:t xml:space="preserve">reconciliation </w:t>
      </w:r>
      <w:r w:rsidR="00CF75D9">
        <w:rPr>
          <w:rFonts w:cstheme="minorHAnsi"/>
          <w:sz w:val="24"/>
          <w:szCs w:val="24"/>
        </w:rPr>
        <w:t>process, th</w:t>
      </w:r>
      <w:r>
        <w:rPr>
          <w:rFonts w:cstheme="minorHAnsi"/>
          <w:sz w:val="24"/>
          <w:szCs w:val="24"/>
        </w:rPr>
        <w:t xml:space="preserve">is </w:t>
      </w:r>
      <w:r w:rsidR="00CF75D9">
        <w:rPr>
          <w:rFonts w:cstheme="minorHAnsi"/>
          <w:sz w:val="24"/>
          <w:szCs w:val="24"/>
        </w:rPr>
        <w:t>bill</w:t>
      </w:r>
      <w:r w:rsidR="00493B1D" w:rsidRPr="004F7B21">
        <w:rPr>
          <w:rFonts w:cstheme="minorHAnsi"/>
          <w:sz w:val="24"/>
          <w:szCs w:val="24"/>
        </w:rPr>
        <w:t xml:space="preserve"> </w:t>
      </w:r>
      <w:r w:rsidR="00E43F83" w:rsidRPr="004F7B21">
        <w:rPr>
          <w:rFonts w:cstheme="minorHAnsi"/>
          <w:sz w:val="24"/>
          <w:szCs w:val="24"/>
        </w:rPr>
        <w:t xml:space="preserve">can only include </w:t>
      </w:r>
      <w:r w:rsidR="00493B1D" w:rsidRPr="004F7B21">
        <w:rPr>
          <w:rFonts w:cstheme="minorHAnsi"/>
          <w:sz w:val="24"/>
          <w:szCs w:val="24"/>
        </w:rPr>
        <w:t>provisions affecting taxes or spending</w:t>
      </w:r>
      <w:r>
        <w:rPr>
          <w:rFonts w:cstheme="minorHAnsi"/>
          <w:sz w:val="24"/>
          <w:szCs w:val="24"/>
        </w:rPr>
        <w:t xml:space="preserve">; accordingly, </w:t>
      </w:r>
      <w:r w:rsidR="00493B1D" w:rsidRPr="004F7B21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>e</w:t>
      </w:r>
      <w:r w:rsidR="00493B1D" w:rsidRPr="004F7B21">
        <w:rPr>
          <w:rFonts w:cstheme="minorHAnsi"/>
          <w:sz w:val="24"/>
          <w:szCs w:val="24"/>
        </w:rPr>
        <w:t xml:space="preserve"> bill could not furnish details on the parameters of such a program.</w:t>
      </w:r>
      <w:r w:rsidR="00C50DBE" w:rsidRPr="004F7B21">
        <w:rPr>
          <w:rFonts w:cstheme="minorHAnsi"/>
          <w:sz w:val="24"/>
          <w:szCs w:val="24"/>
        </w:rPr>
        <w:t xml:space="preserve"> </w:t>
      </w:r>
      <w:r w:rsidR="00493B1D" w:rsidRPr="004F7B21">
        <w:rPr>
          <w:rFonts w:cstheme="minorHAnsi"/>
          <w:sz w:val="24"/>
          <w:szCs w:val="24"/>
        </w:rPr>
        <w:t xml:space="preserve">However, it is anticipated that the IRS will establish an exclusive computer portal for registered dealers to facilitate </w:t>
      </w:r>
      <w:r w:rsidR="00E43F83" w:rsidRPr="004F7B21">
        <w:rPr>
          <w:rFonts w:cstheme="minorHAnsi"/>
          <w:sz w:val="24"/>
          <w:szCs w:val="24"/>
        </w:rPr>
        <w:t xml:space="preserve">dealer </w:t>
      </w:r>
      <w:r w:rsidR="00493B1D" w:rsidRPr="004F7B21">
        <w:rPr>
          <w:rFonts w:cstheme="minorHAnsi"/>
          <w:sz w:val="24"/>
          <w:szCs w:val="24"/>
        </w:rPr>
        <w:t>reimbursement.</w:t>
      </w:r>
      <w:r w:rsidR="00F91C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NADA will participate in the IRS’ process for establishing this portal and will report on relevant developments. </w:t>
      </w:r>
    </w:p>
    <w:p w14:paraId="4A64FB28" w14:textId="6C95BC82" w:rsidR="002410BE" w:rsidRPr="004F7B21" w:rsidRDefault="00020285" w:rsidP="00F42171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="002410BE" w:rsidRPr="004F7B21">
        <w:rPr>
          <w:rFonts w:cstheme="minorHAnsi"/>
          <w:sz w:val="24"/>
          <w:szCs w:val="24"/>
        </w:rPr>
        <w:t>Dealer is defined as a person “licensed by a Stat</w:t>
      </w:r>
      <w:r w:rsidR="00E51EA9" w:rsidRPr="004F7B21">
        <w:rPr>
          <w:rFonts w:cstheme="minorHAnsi"/>
          <w:sz w:val="24"/>
          <w:szCs w:val="24"/>
        </w:rPr>
        <w:t>e…to engage in the sale of vehicles.”</w:t>
      </w:r>
    </w:p>
    <w:p w14:paraId="3DE85341" w14:textId="56B09386" w:rsidR="001A22E1" w:rsidRPr="004F7B21" w:rsidRDefault="00020285" w:rsidP="001A22E1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="00E51EA9" w:rsidRPr="004F7B21">
        <w:rPr>
          <w:rFonts w:cstheme="minorHAnsi"/>
          <w:sz w:val="24"/>
          <w:szCs w:val="24"/>
        </w:rPr>
        <w:t xml:space="preserve">If the </w:t>
      </w:r>
      <w:r w:rsidR="001B68F7">
        <w:rPr>
          <w:rFonts w:cstheme="minorHAnsi"/>
          <w:sz w:val="24"/>
          <w:szCs w:val="24"/>
        </w:rPr>
        <w:t xml:space="preserve">purchaser </w:t>
      </w:r>
      <w:r w:rsidR="00E51EA9" w:rsidRPr="004F7B21">
        <w:rPr>
          <w:rFonts w:cstheme="minorHAnsi"/>
          <w:sz w:val="24"/>
          <w:szCs w:val="24"/>
        </w:rPr>
        <w:t xml:space="preserve">improperly transfers the credit (e.g., the taxpayer’s MAGI </w:t>
      </w:r>
      <w:proofErr w:type="gramStart"/>
      <w:r w:rsidR="00E51EA9" w:rsidRPr="004F7B21">
        <w:rPr>
          <w:rFonts w:cstheme="minorHAnsi"/>
          <w:sz w:val="24"/>
          <w:szCs w:val="24"/>
        </w:rPr>
        <w:t>exceed</w:t>
      </w:r>
      <w:r>
        <w:rPr>
          <w:rFonts w:cstheme="minorHAnsi"/>
          <w:sz w:val="24"/>
          <w:szCs w:val="24"/>
        </w:rPr>
        <w:t>s</w:t>
      </w:r>
      <w:proofErr w:type="gramEnd"/>
      <w:r w:rsidR="00E51EA9" w:rsidRPr="004F7B21">
        <w:rPr>
          <w:rFonts w:cstheme="minorHAnsi"/>
          <w:sz w:val="24"/>
          <w:szCs w:val="24"/>
        </w:rPr>
        <w:t xml:space="preserve"> the limitation</w:t>
      </w:r>
      <w:r>
        <w:rPr>
          <w:rFonts w:cstheme="minorHAnsi"/>
          <w:sz w:val="24"/>
          <w:szCs w:val="24"/>
        </w:rPr>
        <w:t xml:space="preserve"> described above</w:t>
      </w:r>
      <w:r w:rsidR="00E51EA9" w:rsidRPr="004F7B21">
        <w:rPr>
          <w:rFonts w:cstheme="minorHAnsi"/>
          <w:sz w:val="24"/>
          <w:szCs w:val="24"/>
        </w:rPr>
        <w:t>), th</w:t>
      </w:r>
      <w:r w:rsidR="004A7142" w:rsidRPr="004F7B21">
        <w:rPr>
          <w:rFonts w:cstheme="minorHAnsi"/>
          <w:sz w:val="24"/>
          <w:szCs w:val="24"/>
        </w:rPr>
        <w:t xml:space="preserve">e </w:t>
      </w:r>
      <w:r w:rsidR="001B68F7">
        <w:rPr>
          <w:rFonts w:cstheme="minorHAnsi"/>
          <w:sz w:val="24"/>
          <w:szCs w:val="24"/>
        </w:rPr>
        <w:t>purchaser’</w:t>
      </w:r>
      <w:r w:rsidR="004A7142" w:rsidRPr="004F7B21">
        <w:rPr>
          <w:rFonts w:cstheme="minorHAnsi"/>
          <w:sz w:val="24"/>
          <w:szCs w:val="24"/>
        </w:rPr>
        <w:t>s taxes are increased by the amount of the credit.</w:t>
      </w:r>
    </w:p>
    <w:p w14:paraId="115D8CA2" w14:textId="289FA06A" w:rsidR="000B5F22" w:rsidRDefault="000B5F22" w:rsidP="008A2486">
      <w:pPr>
        <w:tabs>
          <w:tab w:val="left" w:pos="1620"/>
        </w:tabs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lastRenderedPageBreak/>
        <w:t>•</w:t>
      </w:r>
      <w:r>
        <w:rPr>
          <w:rFonts w:cstheme="minorHAnsi"/>
          <w:sz w:val="24"/>
          <w:szCs w:val="24"/>
        </w:rPr>
        <w:t xml:space="preserve"> </w:t>
      </w:r>
      <w:r w:rsidRPr="004F7B21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transferred </w:t>
      </w:r>
      <w:r w:rsidRPr="004F7B21">
        <w:rPr>
          <w:rFonts w:cstheme="minorHAnsi"/>
          <w:sz w:val="24"/>
          <w:szCs w:val="24"/>
        </w:rPr>
        <w:t>credit is protected from being reduced under budget sequestration, meaning the IRS cannot reimburse the dealer less than the credit amount should there be</w:t>
      </w:r>
      <w:r>
        <w:rPr>
          <w:rFonts w:cstheme="minorHAnsi"/>
          <w:sz w:val="24"/>
          <w:szCs w:val="24"/>
        </w:rPr>
        <w:t xml:space="preserve"> </w:t>
      </w:r>
      <w:r w:rsidRPr="004F7B21">
        <w:rPr>
          <w:rFonts w:cstheme="minorHAnsi"/>
          <w:sz w:val="24"/>
          <w:szCs w:val="24"/>
        </w:rPr>
        <w:t>automatic across the board budget cuts (i.e., budget sequestration) in the future.</w:t>
      </w:r>
    </w:p>
    <w:p w14:paraId="0C16B43F" w14:textId="016B6DBD" w:rsidR="00001C0C" w:rsidRPr="004609A5" w:rsidRDefault="00001C0C" w:rsidP="008A2486">
      <w:pPr>
        <w:tabs>
          <w:tab w:val="left" w:pos="1620"/>
        </w:tabs>
        <w:rPr>
          <w:rFonts w:cstheme="minorHAnsi"/>
          <w:b/>
          <w:bCs/>
          <w:sz w:val="24"/>
          <w:szCs w:val="24"/>
          <w:u w:val="single"/>
        </w:rPr>
      </w:pPr>
      <w:r w:rsidRPr="004609A5">
        <w:rPr>
          <w:rFonts w:cstheme="minorHAnsi"/>
          <w:b/>
          <w:bCs/>
          <w:sz w:val="24"/>
          <w:szCs w:val="24"/>
          <w:u w:val="single"/>
        </w:rPr>
        <w:t>Effective Dates</w:t>
      </w:r>
    </w:p>
    <w:p w14:paraId="7323A779" w14:textId="7C8F777B" w:rsidR="00006FBB" w:rsidRDefault="00006FBB" w:rsidP="001A22E1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="00020285">
        <w:rPr>
          <w:rFonts w:cstheme="minorHAnsi"/>
          <w:sz w:val="24"/>
          <w:szCs w:val="24"/>
        </w:rPr>
        <w:t xml:space="preserve">As noted above, </w:t>
      </w:r>
      <w:r>
        <w:rPr>
          <w:rFonts w:cstheme="minorHAnsi"/>
          <w:sz w:val="24"/>
          <w:szCs w:val="24"/>
        </w:rPr>
        <w:t xml:space="preserve">most </w:t>
      </w:r>
      <w:r w:rsidR="00020285">
        <w:rPr>
          <w:rFonts w:cstheme="minorHAnsi"/>
          <w:sz w:val="24"/>
          <w:szCs w:val="24"/>
        </w:rPr>
        <w:t xml:space="preserve">of the </w:t>
      </w:r>
      <w:r w:rsidR="00001C0C" w:rsidRPr="004F7B21">
        <w:rPr>
          <w:rFonts w:cstheme="minorHAnsi"/>
          <w:sz w:val="24"/>
          <w:szCs w:val="24"/>
        </w:rPr>
        <w:t xml:space="preserve">provisions </w:t>
      </w:r>
      <w:r>
        <w:rPr>
          <w:rFonts w:cstheme="minorHAnsi"/>
          <w:sz w:val="24"/>
          <w:szCs w:val="24"/>
        </w:rPr>
        <w:t xml:space="preserve">of the IRA </w:t>
      </w:r>
      <w:r w:rsidR="00001C0C" w:rsidRPr="004F7B21">
        <w:rPr>
          <w:rFonts w:cstheme="minorHAnsi"/>
          <w:sz w:val="24"/>
          <w:szCs w:val="24"/>
        </w:rPr>
        <w:t>apply to vehicles “placed in service” beginning 1/1/23.</w:t>
      </w:r>
      <w:r w:rsidR="00F91CC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two exceptions are as follows:</w:t>
      </w:r>
    </w:p>
    <w:p w14:paraId="5FC7232A" w14:textId="4F4DEAAA" w:rsidR="00006FBB" w:rsidRDefault="00006FBB" w:rsidP="00006FB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Pr="0079709F">
        <w:rPr>
          <w:rFonts w:cstheme="minorHAnsi"/>
          <w:sz w:val="24"/>
          <w:szCs w:val="24"/>
        </w:rPr>
        <w:t>f</w:t>
      </w:r>
      <w:r w:rsidR="00001C0C" w:rsidRPr="0079709F">
        <w:rPr>
          <w:rFonts w:cstheme="minorHAnsi"/>
          <w:sz w:val="24"/>
          <w:szCs w:val="24"/>
        </w:rPr>
        <w:t xml:space="preserve">inal </w:t>
      </w:r>
      <w:r w:rsidR="00693672" w:rsidRPr="0079709F">
        <w:rPr>
          <w:rFonts w:cstheme="minorHAnsi"/>
          <w:sz w:val="24"/>
          <w:szCs w:val="24"/>
        </w:rPr>
        <w:t>a</w:t>
      </w:r>
      <w:r w:rsidR="00001C0C" w:rsidRPr="0079709F">
        <w:rPr>
          <w:rFonts w:cstheme="minorHAnsi"/>
          <w:sz w:val="24"/>
          <w:szCs w:val="24"/>
        </w:rPr>
        <w:t>ssembly requirements</w:t>
      </w:r>
      <w:r w:rsidR="00F81B95" w:rsidRPr="0079709F">
        <w:rPr>
          <w:rFonts w:cstheme="minorHAnsi"/>
          <w:sz w:val="24"/>
          <w:szCs w:val="24"/>
        </w:rPr>
        <w:t xml:space="preserve"> </w:t>
      </w:r>
      <w:r w:rsidR="007D304A" w:rsidRPr="0079709F">
        <w:rPr>
          <w:rFonts w:cstheme="minorHAnsi"/>
          <w:sz w:val="24"/>
          <w:szCs w:val="24"/>
        </w:rPr>
        <w:t xml:space="preserve">are effective the day after </w:t>
      </w:r>
      <w:r w:rsidR="00F81B95" w:rsidRPr="0079709F">
        <w:rPr>
          <w:rFonts w:cstheme="minorHAnsi"/>
          <w:sz w:val="24"/>
          <w:szCs w:val="24"/>
        </w:rPr>
        <w:t xml:space="preserve">enactment of the legislation </w:t>
      </w:r>
      <w:r w:rsidR="002C0561" w:rsidRPr="0079709F">
        <w:rPr>
          <w:rFonts w:cstheme="minorHAnsi"/>
          <w:sz w:val="24"/>
          <w:szCs w:val="24"/>
        </w:rPr>
        <w:t>(</w:t>
      </w:r>
      <w:r w:rsidR="00001C0C" w:rsidRPr="0079709F">
        <w:rPr>
          <w:rFonts w:cstheme="minorHAnsi"/>
          <w:sz w:val="24"/>
          <w:szCs w:val="24"/>
        </w:rPr>
        <w:t>8/1</w:t>
      </w:r>
      <w:r w:rsidR="007D304A" w:rsidRPr="0079709F">
        <w:rPr>
          <w:rFonts w:cstheme="minorHAnsi"/>
          <w:sz w:val="24"/>
          <w:szCs w:val="24"/>
        </w:rPr>
        <w:t>7</w:t>
      </w:r>
      <w:r w:rsidR="00001C0C" w:rsidRPr="0079709F">
        <w:rPr>
          <w:rFonts w:cstheme="minorHAnsi"/>
          <w:sz w:val="24"/>
          <w:szCs w:val="24"/>
        </w:rPr>
        <w:t>/2</w:t>
      </w:r>
      <w:r w:rsidR="00E523E5" w:rsidRPr="0079709F">
        <w:rPr>
          <w:rFonts w:cstheme="minorHAnsi"/>
          <w:sz w:val="24"/>
          <w:szCs w:val="24"/>
        </w:rPr>
        <w:t>2</w:t>
      </w:r>
      <w:r w:rsidR="002C0561" w:rsidRPr="0079709F">
        <w:rPr>
          <w:rFonts w:cstheme="minorHAnsi"/>
          <w:sz w:val="24"/>
          <w:szCs w:val="24"/>
        </w:rPr>
        <w:t>)</w:t>
      </w:r>
      <w:r w:rsidR="00001C0C" w:rsidRPr="0079709F">
        <w:rPr>
          <w:rFonts w:cstheme="minorHAnsi"/>
          <w:sz w:val="24"/>
          <w:szCs w:val="24"/>
        </w:rPr>
        <w:t>.</w:t>
      </w:r>
      <w:r w:rsidR="00221663" w:rsidRPr="0079709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</w:p>
    <w:p w14:paraId="452974C1" w14:textId="4C411256" w:rsidR="00006FBB" w:rsidRDefault="00006FBB" w:rsidP="00006FB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Depending on when the IRS </w:t>
      </w:r>
      <w:proofErr w:type="gramStart"/>
      <w:r>
        <w:rPr>
          <w:rFonts w:cstheme="minorHAnsi"/>
          <w:sz w:val="24"/>
          <w:szCs w:val="24"/>
        </w:rPr>
        <w:t>actually issues</w:t>
      </w:r>
      <w:proofErr w:type="gramEnd"/>
      <w:r>
        <w:rPr>
          <w:rFonts w:cstheme="minorHAnsi"/>
          <w:sz w:val="24"/>
          <w:szCs w:val="24"/>
        </w:rPr>
        <w:t xml:space="preserve"> its proposed guidance for the critical minerals and battery components requirements, the application of those provisions may be delayed until that guidance is issued.</w:t>
      </w:r>
    </w:p>
    <w:p w14:paraId="588E5F79" w14:textId="7B304BC7" w:rsidR="00001C0C" w:rsidRPr="0079709F" w:rsidRDefault="00006FBB" w:rsidP="00006FBB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The “t</w:t>
      </w:r>
      <w:r w:rsidR="00001C0C" w:rsidRPr="0079709F">
        <w:rPr>
          <w:rFonts w:cstheme="minorHAnsi"/>
          <w:sz w:val="24"/>
          <w:szCs w:val="24"/>
        </w:rPr>
        <w:t>ransfer to the dealer</w:t>
      </w:r>
      <w:r>
        <w:rPr>
          <w:rFonts w:cstheme="minorHAnsi"/>
          <w:sz w:val="24"/>
          <w:szCs w:val="24"/>
        </w:rPr>
        <w:t>”</w:t>
      </w:r>
      <w:r w:rsidR="00001C0C" w:rsidRPr="0079709F">
        <w:rPr>
          <w:rFonts w:cstheme="minorHAnsi"/>
          <w:sz w:val="24"/>
          <w:szCs w:val="24"/>
        </w:rPr>
        <w:t xml:space="preserve"> program begins 1/1/24</w:t>
      </w:r>
      <w:r w:rsidR="00E43F83" w:rsidRPr="0079709F">
        <w:rPr>
          <w:rFonts w:cstheme="minorHAnsi"/>
          <w:sz w:val="24"/>
          <w:szCs w:val="24"/>
        </w:rPr>
        <w:t>, meaning the IRS has 16 months to establish such a program</w:t>
      </w:r>
      <w:r w:rsidR="00001C0C" w:rsidRPr="0079709F">
        <w:rPr>
          <w:rFonts w:cstheme="minorHAnsi"/>
          <w:sz w:val="24"/>
          <w:szCs w:val="24"/>
        </w:rPr>
        <w:t>.</w:t>
      </w:r>
    </w:p>
    <w:p w14:paraId="513B7D06" w14:textId="0A0F44E6" w:rsidR="001A22E1" w:rsidRPr="004F7B21" w:rsidRDefault="00006FBB" w:rsidP="001A22E1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•</w:t>
      </w:r>
      <w:r w:rsidR="001A0D68">
        <w:rPr>
          <w:rFonts w:cstheme="minorHAnsi"/>
          <w:sz w:val="24"/>
          <w:szCs w:val="24"/>
        </w:rPr>
        <w:t>The e</w:t>
      </w:r>
      <w:r w:rsidR="008A2486" w:rsidRPr="004F7B21">
        <w:rPr>
          <w:rFonts w:cstheme="minorHAnsi"/>
          <w:sz w:val="24"/>
          <w:szCs w:val="24"/>
        </w:rPr>
        <w:t>ntire program ends on 12/31/32.</w:t>
      </w:r>
    </w:p>
    <w:p w14:paraId="2F1628D5" w14:textId="2D90F22A" w:rsidR="008A2486" w:rsidRPr="004F7B21" w:rsidRDefault="001A22E1" w:rsidP="008A2486">
      <w:pPr>
        <w:rPr>
          <w:rFonts w:cstheme="minorHAnsi"/>
          <w:b/>
          <w:bCs/>
          <w:sz w:val="24"/>
          <w:szCs w:val="24"/>
          <w:u w:val="single"/>
        </w:rPr>
      </w:pPr>
      <w:r w:rsidRPr="004F7B21">
        <w:rPr>
          <w:rFonts w:cstheme="minorHAnsi"/>
          <w:sz w:val="24"/>
          <w:szCs w:val="24"/>
        </w:rPr>
        <w:cr/>
      </w:r>
      <w:r w:rsidR="008A2486" w:rsidRPr="00D20E65">
        <w:rPr>
          <w:rFonts w:cstheme="minorHAnsi"/>
          <w:b/>
          <w:bCs/>
          <w:sz w:val="24"/>
          <w:szCs w:val="24"/>
          <w:u w:val="single"/>
        </w:rPr>
        <w:t>C</w:t>
      </w:r>
      <w:r w:rsidR="008A2486" w:rsidRPr="004F7B21">
        <w:rPr>
          <w:rFonts w:cstheme="minorHAnsi"/>
          <w:b/>
          <w:bCs/>
          <w:sz w:val="24"/>
          <w:szCs w:val="24"/>
          <w:u w:val="single"/>
        </w:rPr>
        <w:t>redit for Previously Owned Clean Vehicles</w:t>
      </w:r>
    </w:p>
    <w:p w14:paraId="00292FA0" w14:textId="4F3DCB25" w:rsidR="008A2486" w:rsidRPr="004F7B21" w:rsidRDefault="008A2486" w:rsidP="008A2486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 xml:space="preserve">• Creates a </w:t>
      </w:r>
      <w:r w:rsidR="00C069EB">
        <w:rPr>
          <w:rFonts w:cstheme="minorHAnsi"/>
          <w:sz w:val="24"/>
          <w:szCs w:val="24"/>
        </w:rPr>
        <w:t xml:space="preserve">new </w:t>
      </w:r>
      <w:r w:rsidRPr="004F7B21">
        <w:rPr>
          <w:rFonts w:cstheme="minorHAnsi"/>
          <w:sz w:val="24"/>
          <w:szCs w:val="24"/>
        </w:rPr>
        <w:t>credit for the purchase of used clean vehicles through 2032.</w:t>
      </w:r>
    </w:p>
    <w:p w14:paraId="4714C219" w14:textId="7C65DA48" w:rsidR="008A2486" w:rsidRPr="004F7B21" w:rsidRDefault="008A2486" w:rsidP="008A2486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• Sets the base credit amount at the lesser of $4,000 or 30% of the sale price.</w:t>
      </w:r>
    </w:p>
    <w:p w14:paraId="49B7CBFD" w14:textId="1DC7AD7C" w:rsidR="008A2486" w:rsidRPr="004F7B21" w:rsidRDefault="008A2486" w:rsidP="008A2486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 xml:space="preserve">• Applies to the first resale of a used </w:t>
      </w:r>
      <w:r w:rsidR="001B51B9" w:rsidRPr="004F7B21">
        <w:rPr>
          <w:rFonts w:cstheme="minorHAnsi"/>
          <w:sz w:val="24"/>
          <w:szCs w:val="24"/>
        </w:rPr>
        <w:t xml:space="preserve">clean </w:t>
      </w:r>
      <w:r w:rsidRPr="004F7B21">
        <w:rPr>
          <w:rFonts w:cstheme="minorHAnsi"/>
          <w:sz w:val="24"/>
          <w:szCs w:val="24"/>
        </w:rPr>
        <w:t xml:space="preserve">vehicle </w:t>
      </w:r>
      <w:r w:rsidR="001B51B9" w:rsidRPr="004F7B21">
        <w:rPr>
          <w:rFonts w:cstheme="minorHAnsi"/>
          <w:sz w:val="24"/>
          <w:szCs w:val="24"/>
        </w:rPr>
        <w:t xml:space="preserve">which has a gross vehicle weight rating under 14,000 pounds, </w:t>
      </w:r>
      <w:r w:rsidR="000B5F22">
        <w:rPr>
          <w:rFonts w:cstheme="minorHAnsi"/>
          <w:sz w:val="24"/>
          <w:szCs w:val="24"/>
        </w:rPr>
        <w:t xml:space="preserve">is </w:t>
      </w:r>
      <w:r w:rsidR="001B51B9" w:rsidRPr="004F7B21">
        <w:rPr>
          <w:rFonts w:cstheme="minorHAnsi"/>
          <w:sz w:val="24"/>
          <w:szCs w:val="24"/>
        </w:rPr>
        <w:t>sold by a</w:t>
      </w:r>
      <w:r w:rsidRPr="004F7B21">
        <w:rPr>
          <w:rFonts w:cstheme="minorHAnsi"/>
          <w:sz w:val="24"/>
          <w:szCs w:val="24"/>
        </w:rPr>
        <w:t xml:space="preserve"> dealer</w:t>
      </w:r>
      <w:r w:rsidR="001B51B9" w:rsidRPr="004F7B21">
        <w:rPr>
          <w:rFonts w:cstheme="minorHAnsi"/>
          <w:sz w:val="24"/>
          <w:szCs w:val="24"/>
        </w:rPr>
        <w:t xml:space="preserve">, and is </w:t>
      </w:r>
      <w:r w:rsidR="000B5F22">
        <w:rPr>
          <w:rFonts w:cstheme="minorHAnsi"/>
          <w:sz w:val="24"/>
          <w:szCs w:val="24"/>
        </w:rPr>
        <w:t xml:space="preserve">purchased </w:t>
      </w:r>
      <w:r w:rsidR="001B51B9" w:rsidRPr="004F7B21">
        <w:rPr>
          <w:rFonts w:cstheme="minorHAnsi"/>
          <w:sz w:val="24"/>
          <w:szCs w:val="24"/>
        </w:rPr>
        <w:t xml:space="preserve">only </w:t>
      </w:r>
      <w:r w:rsidRPr="004F7B21">
        <w:rPr>
          <w:rFonts w:cstheme="minorHAnsi"/>
          <w:sz w:val="24"/>
          <w:szCs w:val="24"/>
        </w:rPr>
        <w:t>for personal use.</w:t>
      </w:r>
    </w:p>
    <w:p w14:paraId="2B1979D6" w14:textId="7465BA48" w:rsidR="008A2486" w:rsidRPr="004F7B21" w:rsidRDefault="008A2486" w:rsidP="008A2486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 xml:space="preserve">• Limits the credit to one </w:t>
      </w:r>
      <w:r w:rsidR="00307EC9" w:rsidRPr="004F7B21">
        <w:rPr>
          <w:rFonts w:cstheme="minorHAnsi"/>
          <w:sz w:val="24"/>
          <w:szCs w:val="24"/>
        </w:rPr>
        <w:t>used vehicle</w:t>
      </w:r>
      <w:r w:rsidRPr="004F7B21">
        <w:rPr>
          <w:rFonts w:cstheme="minorHAnsi"/>
          <w:sz w:val="24"/>
          <w:szCs w:val="24"/>
        </w:rPr>
        <w:t xml:space="preserve"> purchase every three years.</w:t>
      </w:r>
    </w:p>
    <w:p w14:paraId="160A7DA8" w14:textId="6A740306" w:rsidR="008A2486" w:rsidRPr="004F7B21" w:rsidRDefault="008A2486" w:rsidP="008A2486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 xml:space="preserve">• </w:t>
      </w:r>
      <w:r w:rsidR="00685506">
        <w:rPr>
          <w:rFonts w:cstheme="minorHAnsi"/>
          <w:sz w:val="24"/>
          <w:szCs w:val="24"/>
        </w:rPr>
        <w:t xml:space="preserve">Applies </w:t>
      </w:r>
      <w:r w:rsidRPr="004F7B21">
        <w:rPr>
          <w:rFonts w:cstheme="minorHAnsi"/>
          <w:sz w:val="24"/>
          <w:szCs w:val="24"/>
        </w:rPr>
        <w:t>to qualifying electric and fuel cell vehicles priced at $25,000 or less and with a model year at least two years old at the</w:t>
      </w:r>
      <w:r w:rsidR="005E7B82" w:rsidRPr="004F7B21">
        <w:rPr>
          <w:rFonts w:cstheme="minorHAnsi"/>
          <w:sz w:val="24"/>
          <w:szCs w:val="24"/>
        </w:rPr>
        <w:t xml:space="preserve"> </w:t>
      </w:r>
      <w:r w:rsidRPr="004F7B21">
        <w:rPr>
          <w:rFonts w:cstheme="minorHAnsi"/>
          <w:sz w:val="24"/>
          <w:szCs w:val="24"/>
        </w:rPr>
        <w:t>time of sale.</w:t>
      </w:r>
    </w:p>
    <w:p w14:paraId="69D82D2B" w14:textId="5437A41E" w:rsidR="008A2486" w:rsidRPr="004F7B21" w:rsidRDefault="008A2486" w:rsidP="008A2486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• Disallows the credit for buyers with a modified adjusted gross income of more than $75,000</w:t>
      </w:r>
      <w:r w:rsidR="005E7B82" w:rsidRPr="004F7B21">
        <w:rPr>
          <w:rFonts w:cstheme="minorHAnsi"/>
          <w:sz w:val="24"/>
          <w:szCs w:val="24"/>
        </w:rPr>
        <w:t xml:space="preserve"> </w:t>
      </w:r>
      <w:r w:rsidRPr="004F7B21">
        <w:rPr>
          <w:rFonts w:cstheme="minorHAnsi"/>
          <w:sz w:val="24"/>
          <w:szCs w:val="24"/>
        </w:rPr>
        <w:t>($150,000 for married couples filing jointly and $112,500 for head of household filers)</w:t>
      </w:r>
      <w:r w:rsidR="000B5F22">
        <w:rPr>
          <w:rFonts w:cstheme="minorHAnsi"/>
          <w:sz w:val="24"/>
          <w:szCs w:val="24"/>
        </w:rPr>
        <w:t xml:space="preserve"> in both the year before and the year of the purchase</w:t>
      </w:r>
      <w:r w:rsidRPr="004F7B21">
        <w:rPr>
          <w:rFonts w:cstheme="minorHAnsi"/>
          <w:sz w:val="24"/>
          <w:szCs w:val="24"/>
        </w:rPr>
        <w:t>.</w:t>
      </w:r>
    </w:p>
    <w:p w14:paraId="63FA4CC5" w14:textId="409F8084" w:rsidR="005073B8" w:rsidRDefault="008A2486" w:rsidP="008A2486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 xml:space="preserve">• </w:t>
      </w:r>
      <w:r w:rsidR="005073B8">
        <w:rPr>
          <w:rFonts w:cstheme="minorHAnsi"/>
          <w:sz w:val="24"/>
          <w:szCs w:val="24"/>
        </w:rPr>
        <w:t>Requires disclosures by the selling dealer similar to those required for credits for new EVs.</w:t>
      </w:r>
    </w:p>
    <w:p w14:paraId="321C8BC5" w14:textId="5E8D25B4" w:rsidR="009469B9" w:rsidRDefault="005073B8" w:rsidP="008A2486">
      <w:pPr>
        <w:rPr>
          <w:rFonts w:cstheme="minorHAnsi"/>
          <w:b/>
          <w:bCs/>
          <w:sz w:val="24"/>
          <w:szCs w:val="24"/>
          <w:u w:val="single"/>
        </w:rPr>
      </w:pPr>
      <w:r w:rsidRPr="004F7B2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="008A2486" w:rsidRPr="004F7B21">
        <w:rPr>
          <w:rFonts w:cstheme="minorHAnsi"/>
          <w:sz w:val="24"/>
          <w:szCs w:val="24"/>
        </w:rPr>
        <w:t>Beginning in 202</w:t>
      </w:r>
      <w:r w:rsidR="005E7B82" w:rsidRPr="004F7B21">
        <w:rPr>
          <w:rFonts w:cstheme="minorHAnsi"/>
          <w:sz w:val="24"/>
          <w:szCs w:val="24"/>
        </w:rPr>
        <w:t>4</w:t>
      </w:r>
      <w:r w:rsidR="008A2486" w:rsidRPr="004F7B21">
        <w:rPr>
          <w:rFonts w:cstheme="minorHAnsi"/>
          <w:sz w:val="24"/>
          <w:szCs w:val="24"/>
        </w:rPr>
        <w:t xml:space="preserve">, allows the </w:t>
      </w:r>
      <w:r w:rsidR="001B68F7">
        <w:rPr>
          <w:rFonts w:cstheme="minorHAnsi"/>
          <w:sz w:val="24"/>
          <w:szCs w:val="24"/>
        </w:rPr>
        <w:t>purchaser</w:t>
      </w:r>
      <w:r w:rsidR="008A2486" w:rsidRPr="004F7B21">
        <w:rPr>
          <w:rFonts w:cstheme="minorHAnsi"/>
          <w:sz w:val="24"/>
          <w:szCs w:val="24"/>
        </w:rPr>
        <w:t xml:space="preserve"> to transfer the credit to the dealer, </w:t>
      </w:r>
      <w:proofErr w:type="gramStart"/>
      <w:r w:rsidR="005E7B82" w:rsidRPr="004F7B21">
        <w:rPr>
          <w:rFonts w:cstheme="minorHAnsi"/>
          <w:sz w:val="24"/>
          <w:szCs w:val="24"/>
        </w:rPr>
        <w:t>s</w:t>
      </w:r>
      <w:r w:rsidR="008A2486" w:rsidRPr="004F7B21">
        <w:rPr>
          <w:rFonts w:cstheme="minorHAnsi"/>
          <w:sz w:val="24"/>
          <w:szCs w:val="24"/>
        </w:rPr>
        <w:t>imilar to</w:t>
      </w:r>
      <w:proofErr w:type="gramEnd"/>
      <w:r w:rsidR="008A2486" w:rsidRPr="004F7B21">
        <w:rPr>
          <w:rFonts w:cstheme="minorHAnsi"/>
          <w:sz w:val="24"/>
          <w:szCs w:val="24"/>
        </w:rPr>
        <w:t xml:space="preserve"> the </w:t>
      </w:r>
      <w:r w:rsidR="005E7B82" w:rsidRPr="004F7B21">
        <w:rPr>
          <w:rFonts w:cstheme="minorHAnsi"/>
          <w:sz w:val="24"/>
          <w:szCs w:val="24"/>
        </w:rPr>
        <w:t xml:space="preserve">rules for new clean vehicles. </w:t>
      </w:r>
    </w:p>
    <w:p w14:paraId="09A78AC7" w14:textId="77777777" w:rsidR="00076333" w:rsidRDefault="00076333" w:rsidP="008A2486">
      <w:pPr>
        <w:rPr>
          <w:rFonts w:cstheme="minorHAnsi"/>
          <w:b/>
          <w:bCs/>
          <w:sz w:val="24"/>
          <w:szCs w:val="24"/>
          <w:u w:val="single"/>
        </w:rPr>
      </w:pPr>
    </w:p>
    <w:p w14:paraId="02C85943" w14:textId="77777777" w:rsidR="00076333" w:rsidRDefault="00076333" w:rsidP="008A2486">
      <w:pPr>
        <w:rPr>
          <w:rFonts w:cstheme="minorHAnsi"/>
          <w:b/>
          <w:bCs/>
          <w:sz w:val="24"/>
          <w:szCs w:val="24"/>
          <w:u w:val="single"/>
        </w:rPr>
      </w:pPr>
    </w:p>
    <w:p w14:paraId="6B69A050" w14:textId="7B839A6E" w:rsidR="008A2486" w:rsidRPr="004F7B21" w:rsidRDefault="005E7B82" w:rsidP="008A2486">
      <w:pPr>
        <w:rPr>
          <w:rFonts w:cstheme="minorHAnsi"/>
          <w:b/>
          <w:bCs/>
          <w:sz w:val="24"/>
          <w:szCs w:val="24"/>
          <w:u w:val="single"/>
        </w:rPr>
      </w:pPr>
      <w:r w:rsidRPr="004F7B21">
        <w:rPr>
          <w:rFonts w:cstheme="minorHAnsi"/>
          <w:b/>
          <w:bCs/>
          <w:sz w:val="24"/>
          <w:szCs w:val="24"/>
          <w:u w:val="single"/>
        </w:rPr>
        <w:lastRenderedPageBreak/>
        <w:t xml:space="preserve">Credit for </w:t>
      </w:r>
      <w:r w:rsidR="008A2486" w:rsidRPr="004F7B21">
        <w:rPr>
          <w:rFonts w:cstheme="minorHAnsi"/>
          <w:b/>
          <w:bCs/>
          <w:sz w:val="24"/>
          <w:szCs w:val="24"/>
          <w:u w:val="single"/>
        </w:rPr>
        <w:t>Qualified Commercial Clean Vehicles</w:t>
      </w:r>
      <w:r w:rsidR="00700155">
        <w:rPr>
          <w:rFonts w:cstheme="minorHAnsi"/>
          <w:b/>
          <w:bCs/>
          <w:sz w:val="24"/>
          <w:szCs w:val="24"/>
          <w:u w:val="single"/>
        </w:rPr>
        <w:t xml:space="preserve"> (Section 45W)</w:t>
      </w:r>
    </w:p>
    <w:p w14:paraId="37E3E8EB" w14:textId="77777777" w:rsidR="0077219B" w:rsidRDefault="008A2486" w:rsidP="008A2486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 xml:space="preserve">• Creates a new </w:t>
      </w:r>
      <w:r w:rsidR="001A0D68">
        <w:rPr>
          <w:rFonts w:cstheme="minorHAnsi"/>
          <w:sz w:val="24"/>
          <w:szCs w:val="24"/>
        </w:rPr>
        <w:t xml:space="preserve">tax </w:t>
      </w:r>
      <w:r w:rsidRPr="004F7B21">
        <w:rPr>
          <w:rFonts w:cstheme="minorHAnsi"/>
          <w:sz w:val="24"/>
          <w:szCs w:val="24"/>
        </w:rPr>
        <w:t xml:space="preserve">credit </w:t>
      </w:r>
      <w:r w:rsidR="0077219B">
        <w:rPr>
          <w:rFonts w:cstheme="minorHAnsi"/>
          <w:sz w:val="24"/>
          <w:szCs w:val="24"/>
        </w:rPr>
        <w:t>for certain commercial clean vehicles.</w:t>
      </w:r>
    </w:p>
    <w:p w14:paraId="2182BBD9" w14:textId="5F9856CA" w:rsidR="001B51B9" w:rsidRPr="004F7B21" w:rsidRDefault="0077219B" w:rsidP="008A2486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The amount of the credit </w:t>
      </w:r>
      <w:r w:rsidR="001B51B9" w:rsidRPr="004F7B21">
        <w:rPr>
          <w:rFonts w:cstheme="minorHAnsi"/>
          <w:sz w:val="24"/>
          <w:szCs w:val="24"/>
        </w:rPr>
        <w:t xml:space="preserve">is the lesser of </w:t>
      </w:r>
      <w:r w:rsidR="005073B8">
        <w:rPr>
          <w:rFonts w:cstheme="minorHAnsi"/>
          <w:sz w:val="24"/>
          <w:szCs w:val="24"/>
        </w:rPr>
        <w:t xml:space="preserve">(1) </w:t>
      </w:r>
      <w:r w:rsidR="008A2486" w:rsidRPr="004F7B21">
        <w:rPr>
          <w:rFonts w:cstheme="minorHAnsi"/>
          <w:sz w:val="24"/>
          <w:szCs w:val="24"/>
        </w:rPr>
        <w:t>15% (</w:t>
      </w:r>
      <w:r>
        <w:rPr>
          <w:rFonts w:cstheme="minorHAnsi"/>
          <w:sz w:val="24"/>
          <w:szCs w:val="24"/>
        </w:rPr>
        <w:t xml:space="preserve">or </w:t>
      </w:r>
      <w:r w:rsidR="008A2486" w:rsidRPr="004F7B21">
        <w:rPr>
          <w:rFonts w:cstheme="minorHAnsi"/>
          <w:sz w:val="24"/>
          <w:szCs w:val="24"/>
        </w:rPr>
        <w:t>30% in the case of a commercial vehicle that does not</w:t>
      </w:r>
      <w:r w:rsidR="001B51B9" w:rsidRPr="004F7B21">
        <w:rPr>
          <w:rFonts w:cstheme="minorHAnsi"/>
          <w:sz w:val="24"/>
          <w:szCs w:val="24"/>
        </w:rPr>
        <w:t xml:space="preserve"> </w:t>
      </w:r>
      <w:r w:rsidR="008A2486" w:rsidRPr="004F7B21">
        <w:rPr>
          <w:rFonts w:cstheme="minorHAnsi"/>
          <w:sz w:val="24"/>
          <w:szCs w:val="24"/>
        </w:rPr>
        <w:t>run on gasoline or diesel fuel) o</w:t>
      </w:r>
      <w:r w:rsidR="005073B8">
        <w:rPr>
          <w:rFonts w:cstheme="minorHAnsi"/>
          <w:sz w:val="24"/>
          <w:szCs w:val="24"/>
        </w:rPr>
        <w:t>f</w:t>
      </w:r>
      <w:r w:rsidR="008A2486" w:rsidRPr="004F7B21">
        <w:rPr>
          <w:rFonts w:cstheme="minorHAnsi"/>
          <w:sz w:val="24"/>
          <w:szCs w:val="24"/>
        </w:rPr>
        <w:t xml:space="preserve"> </w:t>
      </w:r>
      <w:r w:rsidR="005073B8">
        <w:rPr>
          <w:rFonts w:cstheme="minorHAnsi"/>
          <w:sz w:val="24"/>
          <w:szCs w:val="24"/>
        </w:rPr>
        <w:t xml:space="preserve">the basis of such vehicle or (2) </w:t>
      </w:r>
      <w:r w:rsidR="008A2486" w:rsidRPr="004F7B21">
        <w:rPr>
          <w:rFonts w:cstheme="minorHAnsi"/>
          <w:sz w:val="24"/>
          <w:szCs w:val="24"/>
        </w:rPr>
        <w:t xml:space="preserve">the incremental cost of </w:t>
      </w:r>
      <w:r>
        <w:rPr>
          <w:rFonts w:cstheme="minorHAnsi"/>
          <w:sz w:val="24"/>
          <w:szCs w:val="24"/>
        </w:rPr>
        <w:t xml:space="preserve">the </w:t>
      </w:r>
      <w:r w:rsidR="008A2486" w:rsidRPr="004F7B21">
        <w:rPr>
          <w:rFonts w:cstheme="minorHAnsi"/>
          <w:sz w:val="24"/>
          <w:szCs w:val="24"/>
        </w:rPr>
        <w:t xml:space="preserve">qualified commercial </w:t>
      </w:r>
      <w:r>
        <w:rPr>
          <w:rFonts w:cstheme="minorHAnsi"/>
          <w:sz w:val="24"/>
          <w:szCs w:val="24"/>
        </w:rPr>
        <w:t>EV</w:t>
      </w:r>
      <w:r w:rsidR="008A2486" w:rsidRPr="004F7B21">
        <w:rPr>
          <w:rFonts w:cstheme="minorHAnsi"/>
          <w:sz w:val="24"/>
          <w:szCs w:val="24"/>
        </w:rPr>
        <w:t xml:space="preserve">. The </w:t>
      </w:r>
      <w:r>
        <w:rPr>
          <w:rFonts w:cstheme="minorHAnsi"/>
          <w:sz w:val="24"/>
          <w:szCs w:val="24"/>
        </w:rPr>
        <w:t>“</w:t>
      </w:r>
      <w:r w:rsidR="008A2486" w:rsidRPr="004F7B21">
        <w:rPr>
          <w:rFonts w:cstheme="minorHAnsi"/>
          <w:sz w:val="24"/>
          <w:szCs w:val="24"/>
        </w:rPr>
        <w:t>incremental cost</w:t>
      </w:r>
      <w:r>
        <w:rPr>
          <w:rFonts w:cstheme="minorHAnsi"/>
          <w:sz w:val="24"/>
          <w:szCs w:val="24"/>
        </w:rPr>
        <w:t>”</w:t>
      </w:r>
      <w:r w:rsidR="008A2486" w:rsidRPr="004F7B21">
        <w:rPr>
          <w:rFonts w:cstheme="minorHAnsi"/>
          <w:sz w:val="24"/>
          <w:szCs w:val="24"/>
        </w:rPr>
        <w:t xml:space="preserve"> is the </w:t>
      </w:r>
      <w:r>
        <w:rPr>
          <w:rFonts w:cstheme="minorHAnsi"/>
          <w:sz w:val="24"/>
          <w:szCs w:val="24"/>
        </w:rPr>
        <w:t xml:space="preserve">excess of </w:t>
      </w:r>
      <w:r w:rsidR="008A2486" w:rsidRPr="004F7B21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price of the commercial EV over </w:t>
      </w:r>
      <w:r w:rsidR="008A2486" w:rsidRPr="004F7B21">
        <w:rPr>
          <w:rFonts w:cstheme="minorHAnsi"/>
          <w:sz w:val="24"/>
          <w:szCs w:val="24"/>
        </w:rPr>
        <w:t>that of a comparable gasoline- or diesel-powered vehicle.</w:t>
      </w:r>
    </w:p>
    <w:p w14:paraId="1A3076C8" w14:textId="72466B75" w:rsidR="006D70A5" w:rsidRDefault="008A2486" w:rsidP="008A2486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 xml:space="preserve">• </w:t>
      </w:r>
      <w:r w:rsidR="001B51B9" w:rsidRPr="004F7B21">
        <w:rPr>
          <w:rFonts w:cstheme="minorHAnsi"/>
          <w:sz w:val="24"/>
          <w:szCs w:val="24"/>
        </w:rPr>
        <w:t>Credit is capped at $7,500 for vehicles less than 14,000 pounds a</w:t>
      </w:r>
      <w:r w:rsidR="00E44027" w:rsidRPr="004F7B21">
        <w:rPr>
          <w:rFonts w:cstheme="minorHAnsi"/>
          <w:sz w:val="24"/>
          <w:szCs w:val="24"/>
        </w:rPr>
        <w:t xml:space="preserve">nd $40,000 for all other vehicles. </w:t>
      </w:r>
    </w:p>
    <w:p w14:paraId="30E4CF87" w14:textId="12954CCF" w:rsidR="001B51B9" w:rsidRPr="004F7B21" w:rsidRDefault="006D70A5" w:rsidP="008A2486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="00E44027" w:rsidRPr="004F7B21">
        <w:rPr>
          <w:rFonts w:cstheme="minorHAnsi"/>
          <w:sz w:val="24"/>
          <w:szCs w:val="24"/>
        </w:rPr>
        <w:t xml:space="preserve">Vehicle may be </w:t>
      </w:r>
      <w:r w:rsidR="00E44027" w:rsidRPr="0079709F">
        <w:rPr>
          <w:rFonts w:cstheme="minorHAnsi"/>
          <w:sz w:val="24"/>
          <w:szCs w:val="24"/>
        </w:rPr>
        <w:t>leased</w:t>
      </w:r>
      <w:r w:rsidR="00E44027" w:rsidRPr="007F797F">
        <w:rPr>
          <w:rFonts w:cstheme="minorHAnsi"/>
          <w:sz w:val="24"/>
          <w:szCs w:val="24"/>
        </w:rPr>
        <w:t xml:space="preserve"> </w:t>
      </w:r>
      <w:r w:rsidR="00E44027" w:rsidRPr="004F7B21">
        <w:rPr>
          <w:rFonts w:cstheme="minorHAnsi"/>
          <w:sz w:val="24"/>
          <w:szCs w:val="24"/>
        </w:rPr>
        <w:t xml:space="preserve">and must </w:t>
      </w:r>
      <w:r w:rsidR="007244DC" w:rsidRPr="004F7B21">
        <w:rPr>
          <w:rFonts w:cstheme="minorHAnsi"/>
          <w:sz w:val="24"/>
          <w:szCs w:val="24"/>
        </w:rPr>
        <w:t xml:space="preserve">be </w:t>
      </w:r>
      <w:r w:rsidR="00E44027" w:rsidRPr="004F7B21">
        <w:rPr>
          <w:rFonts w:cstheme="minorHAnsi"/>
          <w:sz w:val="24"/>
          <w:szCs w:val="24"/>
        </w:rPr>
        <w:t xml:space="preserve">“a character subject to the allowance for depreciation.” </w:t>
      </w:r>
    </w:p>
    <w:p w14:paraId="1C7D71C7" w14:textId="25231D7C" w:rsidR="008A2486" w:rsidRPr="004F7B21" w:rsidRDefault="008A2486" w:rsidP="008A2486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 xml:space="preserve">• </w:t>
      </w:r>
      <w:r w:rsidR="00E44027" w:rsidRPr="004F7B21">
        <w:rPr>
          <w:rFonts w:cstheme="minorHAnsi"/>
          <w:sz w:val="24"/>
          <w:szCs w:val="24"/>
        </w:rPr>
        <w:t>Credit starts</w:t>
      </w:r>
      <w:r w:rsidR="00D5136B" w:rsidRPr="004F7B21">
        <w:rPr>
          <w:rFonts w:cstheme="minorHAnsi"/>
          <w:sz w:val="24"/>
          <w:szCs w:val="24"/>
        </w:rPr>
        <w:t xml:space="preserve"> 1/1/23</w:t>
      </w:r>
      <w:r w:rsidR="00700155">
        <w:rPr>
          <w:rFonts w:cstheme="minorHAnsi"/>
          <w:sz w:val="24"/>
          <w:szCs w:val="24"/>
        </w:rPr>
        <w:t xml:space="preserve"> and ends 12/31/3</w:t>
      </w:r>
      <w:r w:rsidR="00170BBA">
        <w:rPr>
          <w:rFonts w:cstheme="minorHAnsi"/>
          <w:sz w:val="24"/>
          <w:szCs w:val="24"/>
        </w:rPr>
        <w:t>2</w:t>
      </w:r>
      <w:r w:rsidR="00D5136B" w:rsidRPr="004F7B21">
        <w:rPr>
          <w:rFonts w:cstheme="minorHAnsi"/>
          <w:sz w:val="24"/>
          <w:szCs w:val="24"/>
        </w:rPr>
        <w:t xml:space="preserve">. </w:t>
      </w:r>
    </w:p>
    <w:p w14:paraId="146D73EC" w14:textId="2CB216EB" w:rsidR="008A2486" w:rsidRPr="004F7B21" w:rsidRDefault="008A2486" w:rsidP="008A2486">
      <w:pPr>
        <w:rPr>
          <w:rFonts w:cstheme="minorHAnsi"/>
          <w:b/>
          <w:bCs/>
          <w:sz w:val="24"/>
          <w:szCs w:val="24"/>
          <w:u w:val="single"/>
        </w:rPr>
      </w:pPr>
      <w:r w:rsidRPr="004F7B21">
        <w:rPr>
          <w:rFonts w:cstheme="minorHAnsi"/>
          <w:b/>
          <w:bCs/>
          <w:sz w:val="24"/>
          <w:szCs w:val="24"/>
          <w:u w:val="single"/>
        </w:rPr>
        <w:t>Alternative Fuel Refueling Property Credit</w:t>
      </w:r>
      <w:r w:rsidR="00170BBA">
        <w:rPr>
          <w:rFonts w:cstheme="minorHAnsi"/>
          <w:b/>
          <w:bCs/>
          <w:sz w:val="24"/>
          <w:szCs w:val="24"/>
          <w:u w:val="single"/>
        </w:rPr>
        <w:t xml:space="preserve"> (Section 30C)</w:t>
      </w:r>
    </w:p>
    <w:p w14:paraId="42774655" w14:textId="3B50BAA9" w:rsidR="008A2486" w:rsidRPr="004F7B21" w:rsidRDefault="008A2486" w:rsidP="008A2486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• Extends the credit for alternative fuel vehicle refueling property placed in service after 2022</w:t>
      </w:r>
      <w:r w:rsidR="00D5136B" w:rsidRPr="004F7B21">
        <w:rPr>
          <w:rFonts w:cstheme="minorHAnsi"/>
          <w:sz w:val="24"/>
          <w:szCs w:val="24"/>
        </w:rPr>
        <w:t xml:space="preserve"> </w:t>
      </w:r>
      <w:r w:rsidRPr="004F7B21">
        <w:rPr>
          <w:rFonts w:cstheme="minorHAnsi"/>
          <w:sz w:val="24"/>
          <w:szCs w:val="24"/>
        </w:rPr>
        <w:t>through 2032.</w:t>
      </w:r>
      <w:r w:rsidR="00170BBA">
        <w:rPr>
          <w:rFonts w:cstheme="minorHAnsi"/>
          <w:sz w:val="24"/>
          <w:szCs w:val="24"/>
        </w:rPr>
        <w:t xml:space="preserve"> (retroactive extension since 12/31/21 credit expiration)</w:t>
      </w:r>
    </w:p>
    <w:p w14:paraId="29DD1666" w14:textId="17CF1160" w:rsidR="003D3B06" w:rsidRDefault="008A2486" w:rsidP="003D3B06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 xml:space="preserve">• Expands </w:t>
      </w:r>
      <w:r w:rsidR="00170BBA" w:rsidRPr="004F7B21">
        <w:rPr>
          <w:rFonts w:cstheme="minorHAnsi"/>
          <w:sz w:val="24"/>
          <w:szCs w:val="24"/>
        </w:rPr>
        <w:t>the</w:t>
      </w:r>
      <w:r w:rsidR="00170BBA">
        <w:rPr>
          <w:rFonts w:cstheme="minorHAnsi"/>
          <w:sz w:val="24"/>
          <w:szCs w:val="24"/>
        </w:rPr>
        <w:t xml:space="preserve"> commercial </w:t>
      </w:r>
      <w:r w:rsidRPr="004F7B21">
        <w:rPr>
          <w:rFonts w:cstheme="minorHAnsi"/>
          <w:sz w:val="24"/>
          <w:szCs w:val="24"/>
        </w:rPr>
        <w:t>credit for zero-emissions charging and refueling infrastructure</w:t>
      </w:r>
      <w:r w:rsidR="002C0561">
        <w:rPr>
          <w:rFonts w:cstheme="minorHAnsi"/>
          <w:sz w:val="24"/>
          <w:szCs w:val="24"/>
        </w:rPr>
        <w:t xml:space="preserve"> </w:t>
      </w:r>
      <w:r w:rsidR="0030130B">
        <w:rPr>
          <w:rFonts w:cstheme="minorHAnsi"/>
          <w:sz w:val="24"/>
          <w:szCs w:val="24"/>
        </w:rPr>
        <w:t>which is currently equal to 30% of installation cost limited to</w:t>
      </w:r>
      <w:r w:rsidR="003D3B06">
        <w:rPr>
          <w:rFonts w:cstheme="minorHAnsi"/>
          <w:sz w:val="24"/>
          <w:szCs w:val="24"/>
        </w:rPr>
        <w:t xml:space="preserve"> $30,000 per business. </w:t>
      </w:r>
    </w:p>
    <w:p w14:paraId="61C27584" w14:textId="7794EE53" w:rsidR="008A2486" w:rsidRPr="009962A3" w:rsidRDefault="00202A38" w:rsidP="009962A3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 xml:space="preserve">• </w:t>
      </w:r>
      <w:r w:rsidR="003D3B06" w:rsidRPr="009962A3">
        <w:rPr>
          <w:rFonts w:cstheme="minorHAnsi"/>
          <w:sz w:val="24"/>
          <w:szCs w:val="24"/>
        </w:rPr>
        <w:t xml:space="preserve">The new tax credit for business property would be extended at </w:t>
      </w:r>
      <w:r w:rsidR="008A2486" w:rsidRPr="009962A3">
        <w:rPr>
          <w:rFonts w:cstheme="minorHAnsi"/>
          <w:sz w:val="24"/>
          <w:szCs w:val="24"/>
        </w:rPr>
        <w:t>a base</w:t>
      </w:r>
      <w:r w:rsidR="00D5136B" w:rsidRPr="009962A3">
        <w:rPr>
          <w:rFonts w:cstheme="minorHAnsi"/>
          <w:sz w:val="24"/>
          <w:szCs w:val="24"/>
        </w:rPr>
        <w:t xml:space="preserve"> </w:t>
      </w:r>
      <w:r w:rsidR="008A2486" w:rsidRPr="009962A3">
        <w:rPr>
          <w:rFonts w:cstheme="minorHAnsi"/>
          <w:sz w:val="24"/>
          <w:szCs w:val="24"/>
        </w:rPr>
        <w:t xml:space="preserve">credit of 6% </w:t>
      </w:r>
      <w:r w:rsidR="00307EC9" w:rsidRPr="009962A3">
        <w:rPr>
          <w:rFonts w:cstheme="minorHAnsi"/>
          <w:sz w:val="24"/>
          <w:szCs w:val="24"/>
        </w:rPr>
        <w:t>of</w:t>
      </w:r>
      <w:r w:rsidR="00C5416E" w:rsidRPr="009962A3">
        <w:rPr>
          <w:rFonts w:cstheme="minorHAnsi"/>
          <w:sz w:val="24"/>
          <w:szCs w:val="24"/>
        </w:rPr>
        <w:t xml:space="preserve"> </w:t>
      </w:r>
      <w:r w:rsidR="008A2486" w:rsidRPr="009962A3">
        <w:rPr>
          <w:rFonts w:cstheme="minorHAnsi"/>
          <w:sz w:val="24"/>
          <w:szCs w:val="24"/>
        </w:rPr>
        <w:t xml:space="preserve">expenses </w:t>
      </w:r>
      <w:r w:rsidR="0030130B" w:rsidRPr="009962A3">
        <w:rPr>
          <w:rFonts w:cstheme="minorHAnsi"/>
          <w:sz w:val="24"/>
          <w:szCs w:val="24"/>
        </w:rPr>
        <w:t xml:space="preserve">the maximum 30% tax credit can only be fully realized if prevailing wage </w:t>
      </w:r>
      <w:r w:rsidR="003D3B06" w:rsidRPr="009962A3">
        <w:rPr>
          <w:rFonts w:cstheme="minorHAnsi"/>
          <w:sz w:val="24"/>
          <w:szCs w:val="24"/>
        </w:rPr>
        <w:t xml:space="preserve">and registered apprenticeship </w:t>
      </w:r>
      <w:r w:rsidR="0030130B" w:rsidRPr="009962A3">
        <w:rPr>
          <w:rFonts w:cstheme="minorHAnsi"/>
          <w:sz w:val="24"/>
          <w:szCs w:val="24"/>
        </w:rPr>
        <w:t>requirements for installation are met</w:t>
      </w:r>
      <w:r w:rsidR="003D3B06" w:rsidRPr="009962A3">
        <w:rPr>
          <w:rFonts w:cstheme="minorHAnsi"/>
          <w:sz w:val="24"/>
          <w:szCs w:val="24"/>
        </w:rPr>
        <w:t xml:space="preserve">, with the credit limit increased </w:t>
      </w:r>
      <w:r w:rsidR="008A2486" w:rsidRPr="009962A3">
        <w:rPr>
          <w:rFonts w:cstheme="minorHAnsi"/>
          <w:sz w:val="24"/>
          <w:szCs w:val="24"/>
        </w:rPr>
        <w:t>up to $100,000</w:t>
      </w:r>
      <w:r w:rsidR="003D3B06" w:rsidRPr="009962A3">
        <w:rPr>
          <w:rFonts w:cstheme="minorHAnsi"/>
          <w:sz w:val="24"/>
          <w:szCs w:val="24"/>
        </w:rPr>
        <w:t>.</w:t>
      </w:r>
    </w:p>
    <w:p w14:paraId="6BF78C09" w14:textId="1DDDD8B3" w:rsidR="008A2486" w:rsidRPr="004F7B21" w:rsidRDefault="008A2486" w:rsidP="008A2486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 xml:space="preserve">• </w:t>
      </w:r>
      <w:r w:rsidR="0030130B">
        <w:rPr>
          <w:rFonts w:cstheme="minorHAnsi"/>
          <w:sz w:val="24"/>
          <w:szCs w:val="24"/>
        </w:rPr>
        <w:t>Starting in 2023 l</w:t>
      </w:r>
      <w:r w:rsidRPr="004F7B21">
        <w:rPr>
          <w:rFonts w:cstheme="minorHAnsi"/>
          <w:sz w:val="24"/>
          <w:szCs w:val="24"/>
        </w:rPr>
        <w:t>imits the credit to property located in a qualifying census tract (i.e., low-income</w:t>
      </w:r>
      <w:r w:rsidR="00D5136B" w:rsidRPr="004F7B21">
        <w:rPr>
          <w:rFonts w:cstheme="minorHAnsi"/>
          <w:sz w:val="24"/>
          <w:szCs w:val="24"/>
        </w:rPr>
        <w:t xml:space="preserve"> </w:t>
      </w:r>
      <w:r w:rsidRPr="004F7B21">
        <w:rPr>
          <w:rFonts w:cstheme="minorHAnsi"/>
          <w:sz w:val="24"/>
          <w:szCs w:val="24"/>
        </w:rPr>
        <w:t>communities under the New Markets Tax Credit or non-urban areas)</w:t>
      </w:r>
      <w:r w:rsidR="00D77BC4" w:rsidRPr="00D77BC4">
        <w:rPr>
          <w:rFonts w:cstheme="minorHAnsi"/>
          <w:sz w:val="24"/>
          <w:szCs w:val="24"/>
        </w:rPr>
        <w:t xml:space="preserve"> </w:t>
      </w:r>
      <w:r w:rsidR="00D77BC4">
        <w:rPr>
          <w:rFonts w:cstheme="minorHAnsi"/>
          <w:sz w:val="24"/>
          <w:szCs w:val="24"/>
        </w:rPr>
        <w:t>to</w:t>
      </w:r>
      <w:r w:rsidR="00D77BC4" w:rsidRPr="004F7B21">
        <w:rPr>
          <w:rFonts w:cstheme="minorHAnsi"/>
          <w:sz w:val="24"/>
          <w:szCs w:val="24"/>
        </w:rPr>
        <w:t xml:space="preserve"> incentivize</w:t>
      </w:r>
      <w:r w:rsidR="00D77BC4">
        <w:rPr>
          <w:rFonts w:cstheme="minorHAnsi"/>
          <w:sz w:val="24"/>
          <w:szCs w:val="24"/>
        </w:rPr>
        <w:t xml:space="preserve"> </w:t>
      </w:r>
      <w:r w:rsidR="00D77BC4" w:rsidRPr="004F7B21">
        <w:rPr>
          <w:rFonts w:cstheme="minorHAnsi"/>
          <w:sz w:val="24"/>
          <w:szCs w:val="24"/>
        </w:rPr>
        <w:t xml:space="preserve">the construction of </w:t>
      </w:r>
      <w:r w:rsidR="00B7718C">
        <w:rPr>
          <w:rFonts w:cstheme="minorHAnsi"/>
          <w:sz w:val="24"/>
          <w:szCs w:val="24"/>
        </w:rPr>
        <w:t>EV</w:t>
      </w:r>
      <w:r w:rsidR="00F91CC4">
        <w:rPr>
          <w:rFonts w:cstheme="minorHAnsi"/>
          <w:sz w:val="24"/>
          <w:szCs w:val="24"/>
        </w:rPr>
        <w:t xml:space="preserve"> </w:t>
      </w:r>
      <w:r w:rsidR="00D77BC4" w:rsidRPr="004F7B21">
        <w:rPr>
          <w:rFonts w:cstheme="minorHAnsi"/>
          <w:sz w:val="24"/>
          <w:szCs w:val="24"/>
        </w:rPr>
        <w:t>refueling property in low-income communities and non-urban areas.</w:t>
      </w:r>
    </w:p>
    <w:p w14:paraId="6774979A" w14:textId="2797CC39" w:rsidR="00FE60A7" w:rsidRPr="004F7B21" w:rsidRDefault="008A2486" w:rsidP="008A2486">
      <w:pPr>
        <w:rPr>
          <w:rFonts w:cstheme="minorHAnsi"/>
          <w:sz w:val="24"/>
          <w:szCs w:val="24"/>
        </w:rPr>
      </w:pPr>
      <w:r w:rsidRPr="004F7B21">
        <w:rPr>
          <w:rFonts w:cstheme="minorHAnsi"/>
          <w:sz w:val="24"/>
          <w:szCs w:val="24"/>
        </w:rPr>
        <w:t>• Expands the list of eligible property to include electric charging stations for electric two- and</w:t>
      </w:r>
      <w:r w:rsidR="00D5136B" w:rsidRPr="004F7B21">
        <w:rPr>
          <w:rFonts w:cstheme="minorHAnsi"/>
          <w:sz w:val="24"/>
          <w:szCs w:val="24"/>
        </w:rPr>
        <w:t xml:space="preserve"> </w:t>
      </w:r>
      <w:r w:rsidRPr="004F7B21">
        <w:rPr>
          <w:rFonts w:cstheme="minorHAnsi"/>
          <w:sz w:val="24"/>
          <w:szCs w:val="24"/>
        </w:rPr>
        <w:t>three-wheel vehicles and clarifies the eligibility of bidirectional charging equipmen</w:t>
      </w:r>
      <w:r w:rsidR="003F75F6">
        <w:rPr>
          <w:rFonts w:cstheme="minorHAnsi"/>
          <w:sz w:val="24"/>
          <w:szCs w:val="24"/>
        </w:rPr>
        <w:t>t.</w:t>
      </w:r>
    </w:p>
    <w:sectPr w:rsidR="00FE60A7" w:rsidRPr="004F7B21" w:rsidSect="0079709F"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2AC2" w14:textId="77777777" w:rsidR="00F55E67" w:rsidRDefault="00F55E67" w:rsidP="00E8174C">
      <w:pPr>
        <w:spacing w:after="0" w:line="240" w:lineRule="auto"/>
      </w:pPr>
      <w:r>
        <w:separator/>
      </w:r>
    </w:p>
  </w:endnote>
  <w:endnote w:type="continuationSeparator" w:id="0">
    <w:p w14:paraId="16E015C7" w14:textId="77777777" w:rsidR="00F55E67" w:rsidRDefault="00F55E67" w:rsidP="00E8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705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3232A" w14:textId="503812B9" w:rsidR="004F7B21" w:rsidRDefault="004F7B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6E25F" w14:textId="77777777" w:rsidR="004F7B21" w:rsidRDefault="004F7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3D5F" w14:textId="77777777" w:rsidR="00F55E67" w:rsidRDefault="00F55E67" w:rsidP="00E8174C">
      <w:pPr>
        <w:spacing w:after="0" w:line="240" w:lineRule="auto"/>
      </w:pPr>
      <w:r>
        <w:separator/>
      </w:r>
    </w:p>
  </w:footnote>
  <w:footnote w:type="continuationSeparator" w:id="0">
    <w:p w14:paraId="70B8C599" w14:textId="77777777" w:rsidR="00F55E67" w:rsidRDefault="00F55E67" w:rsidP="00E8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177C3"/>
    <w:multiLevelType w:val="hybridMultilevel"/>
    <w:tmpl w:val="32BA6C6C"/>
    <w:lvl w:ilvl="0" w:tplc="75501672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70AC1"/>
    <w:multiLevelType w:val="hybridMultilevel"/>
    <w:tmpl w:val="BD12D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0A776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BA39D9"/>
    <w:multiLevelType w:val="hybridMultilevel"/>
    <w:tmpl w:val="CE5055F2"/>
    <w:lvl w:ilvl="0" w:tplc="CE923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D272D"/>
    <w:multiLevelType w:val="hybridMultilevel"/>
    <w:tmpl w:val="4510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1012"/>
    <w:multiLevelType w:val="hybridMultilevel"/>
    <w:tmpl w:val="F6585248"/>
    <w:lvl w:ilvl="0" w:tplc="4E94FF3C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F43D98"/>
    <w:multiLevelType w:val="hybridMultilevel"/>
    <w:tmpl w:val="72CC8D52"/>
    <w:lvl w:ilvl="0" w:tplc="97702A58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440985">
    <w:abstractNumId w:val="2"/>
  </w:num>
  <w:num w:numId="2" w16cid:durableId="1800029172">
    <w:abstractNumId w:val="1"/>
  </w:num>
  <w:num w:numId="3" w16cid:durableId="109403041">
    <w:abstractNumId w:val="5"/>
  </w:num>
  <w:num w:numId="4" w16cid:durableId="1207184763">
    <w:abstractNumId w:val="4"/>
  </w:num>
  <w:num w:numId="5" w16cid:durableId="1654991248">
    <w:abstractNumId w:val="0"/>
  </w:num>
  <w:num w:numId="6" w16cid:durableId="145706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E1"/>
    <w:rsid w:val="00001C0C"/>
    <w:rsid w:val="00006FBB"/>
    <w:rsid w:val="00020285"/>
    <w:rsid w:val="0003353C"/>
    <w:rsid w:val="00042B4A"/>
    <w:rsid w:val="00071784"/>
    <w:rsid w:val="00074C91"/>
    <w:rsid w:val="00076333"/>
    <w:rsid w:val="00076863"/>
    <w:rsid w:val="00076C61"/>
    <w:rsid w:val="000B5F22"/>
    <w:rsid w:val="000C1FC9"/>
    <w:rsid w:val="00125C10"/>
    <w:rsid w:val="00145F20"/>
    <w:rsid w:val="00167975"/>
    <w:rsid w:val="00170BBA"/>
    <w:rsid w:val="00172428"/>
    <w:rsid w:val="00184C1A"/>
    <w:rsid w:val="00190AFE"/>
    <w:rsid w:val="001A0D68"/>
    <w:rsid w:val="001A22E1"/>
    <w:rsid w:val="001B51B9"/>
    <w:rsid w:val="001B68F7"/>
    <w:rsid w:val="001E60DE"/>
    <w:rsid w:val="00202A38"/>
    <w:rsid w:val="00221663"/>
    <w:rsid w:val="00240AFC"/>
    <w:rsid w:val="002410BE"/>
    <w:rsid w:val="00252D36"/>
    <w:rsid w:val="00281912"/>
    <w:rsid w:val="002A13DC"/>
    <w:rsid w:val="002A1A22"/>
    <w:rsid w:val="002B74FE"/>
    <w:rsid w:val="002C0561"/>
    <w:rsid w:val="0030130B"/>
    <w:rsid w:val="00307EC9"/>
    <w:rsid w:val="003109E0"/>
    <w:rsid w:val="003174E0"/>
    <w:rsid w:val="0033759A"/>
    <w:rsid w:val="00344040"/>
    <w:rsid w:val="00355FD6"/>
    <w:rsid w:val="003B7897"/>
    <w:rsid w:val="003C0A4C"/>
    <w:rsid w:val="003D3B06"/>
    <w:rsid w:val="003E3219"/>
    <w:rsid w:val="003F75F6"/>
    <w:rsid w:val="00425FD9"/>
    <w:rsid w:val="004439DF"/>
    <w:rsid w:val="00453D07"/>
    <w:rsid w:val="004609A5"/>
    <w:rsid w:val="00493B1D"/>
    <w:rsid w:val="004A7142"/>
    <w:rsid w:val="004C0437"/>
    <w:rsid w:val="004F7B21"/>
    <w:rsid w:val="005073B8"/>
    <w:rsid w:val="00517841"/>
    <w:rsid w:val="00522D7A"/>
    <w:rsid w:val="005314A6"/>
    <w:rsid w:val="00563CBF"/>
    <w:rsid w:val="00563F4A"/>
    <w:rsid w:val="005A0106"/>
    <w:rsid w:val="005B5ABD"/>
    <w:rsid w:val="005D41D7"/>
    <w:rsid w:val="005E7B82"/>
    <w:rsid w:val="0064727B"/>
    <w:rsid w:val="00651464"/>
    <w:rsid w:val="00676C47"/>
    <w:rsid w:val="00685506"/>
    <w:rsid w:val="00693672"/>
    <w:rsid w:val="006A6A84"/>
    <w:rsid w:val="006B6D1F"/>
    <w:rsid w:val="006D70A5"/>
    <w:rsid w:val="006E6BDE"/>
    <w:rsid w:val="00700155"/>
    <w:rsid w:val="00705E5C"/>
    <w:rsid w:val="007244DC"/>
    <w:rsid w:val="007633D0"/>
    <w:rsid w:val="00763D1B"/>
    <w:rsid w:val="0077219B"/>
    <w:rsid w:val="0079709F"/>
    <w:rsid w:val="007D304A"/>
    <w:rsid w:val="007E20B1"/>
    <w:rsid w:val="007E449E"/>
    <w:rsid w:val="007F797F"/>
    <w:rsid w:val="00851800"/>
    <w:rsid w:val="008779B3"/>
    <w:rsid w:val="008A2486"/>
    <w:rsid w:val="008A5DEA"/>
    <w:rsid w:val="008E630C"/>
    <w:rsid w:val="00942239"/>
    <w:rsid w:val="009469B9"/>
    <w:rsid w:val="009770FE"/>
    <w:rsid w:val="00984645"/>
    <w:rsid w:val="00985F64"/>
    <w:rsid w:val="009962A3"/>
    <w:rsid w:val="00997AC4"/>
    <w:rsid w:val="009B4B39"/>
    <w:rsid w:val="009C64CD"/>
    <w:rsid w:val="009D150E"/>
    <w:rsid w:val="00A00D20"/>
    <w:rsid w:val="00A37A2A"/>
    <w:rsid w:val="00A80DC9"/>
    <w:rsid w:val="00A94E13"/>
    <w:rsid w:val="00AB3E00"/>
    <w:rsid w:val="00AE395D"/>
    <w:rsid w:val="00B126E5"/>
    <w:rsid w:val="00B37543"/>
    <w:rsid w:val="00B7209F"/>
    <w:rsid w:val="00B724DE"/>
    <w:rsid w:val="00B7718C"/>
    <w:rsid w:val="00B94EAD"/>
    <w:rsid w:val="00BA2FE4"/>
    <w:rsid w:val="00BC4DE7"/>
    <w:rsid w:val="00C069EB"/>
    <w:rsid w:val="00C13313"/>
    <w:rsid w:val="00C50DBE"/>
    <w:rsid w:val="00C5416E"/>
    <w:rsid w:val="00C803DE"/>
    <w:rsid w:val="00CA4677"/>
    <w:rsid w:val="00CB438A"/>
    <w:rsid w:val="00CF75D9"/>
    <w:rsid w:val="00D20E65"/>
    <w:rsid w:val="00D5136B"/>
    <w:rsid w:val="00D526F1"/>
    <w:rsid w:val="00D5679F"/>
    <w:rsid w:val="00D63F64"/>
    <w:rsid w:val="00D77BC4"/>
    <w:rsid w:val="00D9245D"/>
    <w:rsid w:val="00D93A05"/>
    <w:rsid w:val="00D9716F"/>
    <w:rsid w:val="00DC5186"/>
    <w:rsid w:val="00E00806"/>
    <w:rsid w:val="00E04228"/>
    <w:rsid w:val="00E054DC"/>
    <w:rsid w:val="00E1691B"/>
    <w:rsid w:val="00E2219D"/>
    <w:rsid w:val="00E3763F"/>
    <w:rsid w:val="00E43F83"/>
    <w:rsid w:val="00E44027"/>
    <w:rsid w:val="00E51EA9"/>
    <w:rsid w:val="00E523E5"/>
    <w:rsid w:val="00E54C98"/>
    <w:rsid w:val="00E8174C"/>
    <w:rsid w:val="00E906A8"/>
    <w:rsid w:val="00E94B92"/>
    <w:rsid w:val="00EC06C0"/>
    <w:rsid w:val="00EE585C"/>
    <w:rsid w:val="00EF0035"/>
    <w:rsid w:val="00F206F8"/>
    <w:rsid w:val="00F42171"/>
    <w:rsid w:val="00F55E67"/>
    <w:rsid w:val="00F56004"/>
    <w:rsid w:val="00F660AE"/>
    <w:rsid w:val="00F76722"/>
    <w:rsid w:val="00F80B37"/>
    <w:rsid w:val="00F81B95"/>
    <w:rsid w:val="00F91CC4"/>
    <w:rsid w:val="00FA2A87"/>
    <w:rsid w:val="00FC41AA"/>
    <w:rsid w:val="00FC55E7"/>
    <w:rsid w:val="00FD1809"/>
    <w:rsid w:val="00FE60A7"/>
    <w:rsid w:val="00FE63C1"/>
    <w:rsid w:val="00FE7D6F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27CE"/>
  <w15:chartTrackingRefBased/>
  <w15:docId w15:val="{A211AD63-A694-41D0-AB3B-BA3FA814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74C"/>
  </w:style>
  <w:style w:type="paragraph" w:styleId="Footer">
    <w:name w:val="footer"/>
    <w:basedOn w:val="Normal"/>
    <w:link w:val="FooterChar"/>
    <w:uiPriority w:val="99"/>
    <w:unhideWhenUsed/>
    <w:rsid w:val="00E8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74C"/>
  </w:style>
  <w:style w:type="paragraph" w:styleId="Subtitle">
    <w:name w:val="Subtitle"/>
    <w:basedOn w:val="Normal"/>
    <w:next w:val="Normal"/>
    <w:link w:val="SubtitleChar"/>
    <w:uiPriority w:val="11"/>
    <w:qFormat/>
    <w:rsid w:val="0064727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727B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997A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150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2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3E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0D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D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0DC9"/>
    <w:rPr>
      <w:vertAlign w:val="superscript"/>
    </w:rPr>
  </w:style>
  <w:style w:type="character" w:customStyle="1" w:styleId="apple-converted-space">
    <w:name w:val="apple-converted-space"/>
    <w:basedOn w:val="DefaultParagraphFont"/>
    <w:rsid w:val="00076863"/>
  </w:style>
  <w:style w:type="character" w:customStyle="1" w:styleId="BodyTextChar">
    <w:name w:val="Body Text Char"/>
    <w:aliases w:val="Body Char"/>
    <w:basedOn w:val="DefaultParagraphFont"/>
    <w:link w:val="BodyText"/>
    <w:uiPriority w:val="1"/>
    <w:locked/>
    <w:rsid w:val="00EF0035"/>
  </w:style>
  <w:style w:type="paragraph" w:styleId="BodyText">
    <w:name w:val="Body Text"/>
    <w:aliases w:val="Body"/>
    <w:basedOn w:val="Normal"/>
    <w:link w:val="BodyTextChar"/>
    <w:uiPriority w:val="1"/>
    <w:unhideWhenUsed/>
    <w:rsid w:val="00EF0035"/>
    <w:pPr>
      <w:spacing w:after="240" w:line="240" w:lineRule="auto"/>
      <w:jc w:val="both"/>
    </w:pPr>
  </w:style>
  <w:style w:type="character" w:customStyle="1" w:styleId="BodyTextChar1">
    <w:name w:val="Body Text Char1"/>
    <w:basedOn w:val="DefaultParagraphFont"/>
    <w:uiPriority w:val="99"/>
    <w:semiHidden/>
    <w:rsid w:val="00EF0035"/>
  </w:style>
  <w:style w:type="character" w:styleId="FollowedHyperlink">
    <w:name w:val="FollowedHyperlink"/>
    <w:basedOn w:val="DefaultParagraphFont"/>
    <w:uiPriority w:val="99"/>
    <w:semiHidden/>
    <w:unhideWhenUsed/>
    <w:rsid w:val="00EF0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protect-us.mimecast.com%2Fs%2Fq1tuCKr5JpTDP0vRHviR_u%3Fdomain%3Dirs.gov&amp;data=05%7C01%7Cirivera%40nada.org%7C9a0cf8daa88f482c26f508da8052e7c6%7C76442bc839d34bea86a937582aff2518%7C1%7C0%7C637963390836646605%7CUnknown%7CTWFpbGZsb3d8eyJWIjoiMC4wLjAwMDAiLCJQIjoiV2luMzIiLCJBTiI6Ik1haWwiLCJXVCI6Mn0%3D%7C3000%7C%7C%7C&amp;sdata=6%2FS%2B7zpDjM5kD2Z9SgN35Z0tBe0sQRokI59DpSZWiXw%3D&amp;reserved=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rs.gov/businesses/plug-in-electric-vehicle-credit-irc-30-and-irc-30d?source=ema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02.safelinks.protection.outlook.com/?url=https%3A%2F%2Fprotect-us.mimecast.com%2Fs%2FIqyrCNk5MvcZJ1rgcrtoXk%3Fdomain%3Dafdc.energy.gov&amp;data=05%7C01%7Cirivera%40nada.org%7C9a0cf8daa88f482c26f508da8052e7c6%7C76442bc839d34bea86a937582aff2518%7C1%7C0%7C637963390836646605%7CUnknown%7CTWFpbGZsb3d8eyJWIjoiMC4wLjAwMDAiLCJQIjoiV2luMzIiLCJBTiI6Ik1haWwiLCJXVCI6Mn0%3D%7C3000%7C%7C%7C&amp;sdata=gHDzGfa827Jx6y%2FRrMT2hMrcnGuFeT2wPhFhBsz%2FsE0%3D&amp;reserved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m02.safelinks.protection.outlook.com/?url=https%3A%2F%2Fprotect-us.mimecast.com%2Fs%2FYGPkCM85Lrs2DG0nhWzrI_%3Fdomain%3Dnhtsa.gov&amp;data=05%7C01%7Cirivera%40nada.org%7C9a0cf8daa88f482c26f508da8052e7c6%7C76442bc839d34bea86a937582aff2518%7C1%7C0%7C637963390836646605%7CUnknown%7CTWFpbGZsb3d8eyJWIjoiMC4wLjAwMDAiLCJQIjoiV2luMzIiLCJBTiI6Ik1haWwiLCJXVCI6Mn0%3D%7C3000%7C%7C%7C&amp;sdata=B0Qa33oM75i9Zo%2BuEUpGWXS4FVTHoadH4RdqAMHbVMU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02.safelinks.protection.outlook.com/?url=https%3A%2F%2Fprotect-us.mimecast.com%2Fs%2Fc_jtCL95KqSkV5pzSPKCek%3Fdomain%3Dhome.treasury.gov&amp;data=05%7C01%7Cirivera%40nada.org%7C9a0cf8daa88f482c26f508da8052e7c6%7C76442bc839d34bea86a937582aff2518%7C1%7C0%7C637963390836646605%7CUnknown%7CTWFpbGZsb3d8eyJWIjoiMC4wLjAwMDAiLCJQIjoiV2luMzIiLCJBTiI6Ik1haWwiLCJXVCI6Mn0%3D%7C3000%7C%7C%7C&amp;sdata=bBjxRNp0%2B5xuVSMbhJGdfRDuLka7%2F4PTVmjLZykjc7A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FBC3-8AA7-4D40-BD4F-D252B717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Michael</dc:creator>
  <cp:keywords/>
  <dc:description/>
  <cp:lastModifiedBy>Guerra, Juliet</cp:lastModifiedBy>
  <cp:revision>3</cp:revision>
  <cp:lastPrinted>2022-08-17T20:20:00Z</cp:lastPrinted>
  <dcterms:created xsi:type="dcterms:W3CDTF">2022-08-18T15:12:00Z</dcterms:created>
  <dcterms:modified xsi:type="dcterms:W3CDTF">2022-08-18T15:22:00Z</dcterms:modified>
</cp:coreProperties>
</file>